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hd w:val="clear" w:color="auto" w:fill="FFFFFF"/>
        <w:spacing w:before="0" w:beforeAutospacing="0" w:after="150" w:afterAutospacing="0" w:line="375" w:lineRule="atLeast"/>
        <w:jc w:val="center"/>
        <w:rPr>
          <w:rFonts w:hint="eastAsia" w:ascii="黑体" w:hAnsi="黑体" w:eastAsia="黑体" w:cs="黑体"/>
          <w:b/>
          <w:bCs/>
          <w:color w:val="FF0000"/>
          <w:sz w:val="32"/>
          <w:szCs w:val="32"/>
        </w:rPr>
      </w:pPr>
      <w:r>
        <w:rPr>
          <w:rFonts w:hint="eastAsia" w:ascii="黑体" w:hAnsi="黑体" w:eastAsia="黑体" w:cs="黑体"/>
          <w:b/>
          <w:bCs/>
          <w:color w:val="FF0000"/>
          <w:sz w:val="32"/>
          <w:szCs w:val="32"/>
        </w:rPr>
        <w:t>中国给水排水2024年污泥处理处置论坛（上海）</w:t>
      </w:r>
    </w:p>
    <w:p>
      <w:pPr>
        <w:pStyle w:val="4"/>
        <w:shd w:val="clear" w:color="auto" w:fill="FFFFFF"/>
        <w:spacing w:before="0" w:beforeAutospacing="0" w:after="150" w:afterAutospacing="0" w:line="375" w:lineRule="atLeast"/>
        <w:jc w:val="center"/>
        <w:rPr>
          <w:rFonts w:hint="eastAsia" w:ascii="黑体" w:hAnsi="黑体" w:eastAsia="黑体" w:cs="黑体"/>
          <w:b/>
          <w:bCs/>
          <w:color w:val="FF0000"/>
          <w:sz w:val="32"/>
          <w:szCs w:val="32"/>
        </w:rPr>
      </w:pPr>
      <w:r>
        <w:rPr>
          <w:rFonts w:hint="eastAsia" w:ascii="黑体" w:hAnsi="黑体" w:eastAsia="黑体" w:cs="黑体"/>
          <w:b/>
          <w:bCs/>
          <w:color w:val="FF0000"/>
          <w:sz w:val="32"/>
          <w:szCs w:val="32"/>
        </w:rPr>
        <w:t>同期举办世环会-上海国际水展-2024年6月3-5日</w:t>
      </w:r>
    </w:p>
    <w:p>
      <w:pPr>
        <w:spacing w:before="312" w:beforeLines="100" w:line="360" w:lineRule="exact"/>
        <w:jc w:val="center"/>
        <w:rPr>
          <w:rFonts w:ascii="仿宋" w:hAnsi="仿宋" w:eastAsia="仿宋" w:cs="宋体"/>
          <w:kern w:val="0"/>
          <w:szCs w:val="21"/>
        </w:rPr>
      </w:pPr>
      <w:r>
        <w:rPr>
          <w:rFonts w:hint="eastAsia" w:ascii="仿宋" w:hAnsi="仿宋" w:eastAsia="仿宋" w:cs="宋体"/>
          <w:color w:val="C00000"/>
          <w:kern w:val="0"/>
          <w:szCs w:val="21"/>
        </w:rPr>
        <mc:AlternateContent>
          <mc:Choice Requires="wps">
            <w:drawing>
              <wp:anchor distT="0" distB="0" distL="114300" distR="114300" simplePos="0" relativeHeight="251659264" behindDoc="0" locked="0" layoutInCell="1" allowOverlap="1">
                <wp:simplePos x="0" y="0"/>
                <wp:positionH relativeFrom="column">
                  <wp:posOffset>-9525</wp:posOffset>
                </wp:positionH>
                <wp:positionV relativeFrom="paragraph">
                  <wp:posOffset>135255</wp:posOffset>
                </wp:positionV>
                <wp:extent cx="5276850" cy="0"/>
                <wp:effectExtent l="0" t="0" r="0" b="0"/>
                <wp:wrapNone/>
                <wp:docPr id="1" name="直线 6"/>
                <wp:cNvGraphicFramePr/>
                <a:graphic xmlns:a="http://schemas.openxmlformats.org/drawingml/2006/main">
                  <a:graphicData uri="http://schemas.microsoft.com/office/word/2010/wordprocessingShape">
                    <wps:wsp>
                      <wps:cNvCnPr/>
                      <wps:spPr>
                        <a:xfrm flipV="1">
                          <a:off x="0" y="0"/>
                          <a:ext cx="527685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直线 6" o:spid="_x0000_s1026" o:spt="20" style="position:absolute;left:0pt;flip:y;margin-left:-0.75pt;margin-top:10.65pt;height:0pt;width:415.5pt;z-index:251659264;mso-width-relative:page;mso-height-relative:page;" filled="f" stroked="t" coordsize="21600,21600" o:gfxdata="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qIpsE1QAAAAgB&#10;AAAPAAAAAAAAAAEAIAAAACIAAABkcnMvZG93bnJldi54bWxQSwECFAAUAAAACACHTuJAIuAHbuUB&#10;AADZAwAADgAAAAAAAAABACAAAAAkAQAAZHJzL2Uyb0RvYy54bWxQSwUGAAAAAAYABgBZAQAAewUA&#10;AAAA&#10;">
                <v:fill on="f" focussize="0,0"/>
                <v:stroke color="#000000" joinstyle="round"/>
                <v:imagedata o:title=""/>
                <o:lock v:ext="edit" aspectratio="f"/>
              </v:line>
            </w:pict>
          </mc:Fallback>
        </mc:AlternateContent>
      </w:r>
    </w:p>
    <w:p>
      <w:pPr>
        <w:spacing w:line="400" w:lineRule="exact"/>
        <w:rPr>
          <w:rFonts w:ascii="仿宋" w:hAnsi="仿宋" w:eastAsia="仿宋" w:cs="等线"/>
          <w:sz w:val="24"/>
          <w:szCs w:val="24"/>
        </w:rPr>
      </w:pPr>
      <w:r>
        <w:rPr>
          <w:rFonts w:hint="eastAsia" w:ascii="仿宋" w:hAnsi="仿宋" w:eastAsia="仿宋" w:cs="等线"/>
          <w:b/>
          <w:bCs/>
          <w:sz w:val="24"/>
          <w:szCs w:val="24"/>
        </w:rPr>
        <w:t>一、活动背景</w:t>
      </w:r>
    </w:p>
    <w:p>
      <w:pPr>
        <w:spacing w:line="400" w:lineRule="exact"/>
        <w:ind w:firstLine="480" w:firstLineChars="200"/>
        <w:rPr>
          <w:rFonts w:ascii="仿宋" w:hAnsi="仿宋" w:eastAsia="仿宋" w:cs="等线"/>
          <w:sz w:val="24"/>
          <w:szCs w:val="24"/>
        </w:rPr>
      </w:pPr>
      <w:r>
        <w:rPr>
          <w:rFonts w:hint="eastAsia" w:ascii="仿宋" w:hAnsi="仿宋" w:eastAsia="仿宋" w:cs="等线"/>
          <w:sz w:val="24"/>
          <w:szCs w:val="24"/>
        </w:rPr>
        <w:t xml:space="preserve"> 随着我国城市化进程的加速和污水处理设施的不断完善，污泥处理处置问题日益凸显。污泥作为污水处理过程中的副产物，含有大量的有害物质和病原体，如果不经过有效处理，将对环境和人体健康造成严重影响。因此，污泥处理处置技术的研发和应用成为了当前环保领域的重要课题。新《水污染防治法》的实施和“水十条”等政策的推动，为污泥处理处置行业的发展提供了政策支持和市场需求。政府和社会各界对污泥处理处置技术的关注度和投入不断增加，推动了该领域的快速发展。</w:t>
      </w:r>
      <w:r>
        <w:rPr>
          <w:rFonts w:eastAsia="仿宋" w:cs="Calibri"/>
          <w:sz w:val="24"/>
          <w:szCs w:val="24"/>
        </w:rPr>
        <w:t> </w:t>
      </w:r>
    </w:p>
    <w:p>
      <w:pPr>
        <w:spacing w:line="400" w:lineRule="exact"/>
        <w:rPr>
          <w:rFonts w:ascii="仿宋" w:hAnsi="仿宋" w:eastAsia="仿宋" w:cs="等线"/>
          <w:b/>
          <w:bCs/>
          <w:sz w:val="24"/>
          <w:szCs w:val="24"/>
        </w:rPr>
      </w:pPr>
      <w:r>
        <w:rPr>
          <w:rFonts w:eastAsia="仿宋" w:cs="Calibri"/>
          <w:sz w:val="24"/>
          <w:szCs w:val="24"/>
        </w:rPr>
        <w:t> </w:t>
      </w:r>
      <w:r>
        <w:rPr>
          <w:rFonts w:hint="eastAsia" w:ascii="仿宋" w:hAnsi="仿宋" w:eastAsia="仿宋" w:cs="等线"/>
          <w:sz w:val="24"/>
          <w:szCs w:val="24"/>
        </w:rPr>
        <w:t xml:space="preserve"> </w:t>
      </w:r>
      <w:r>
        <w:rPr>
          <w:rFonts w:eastAsia="仿宋" w:cs="Calibri"/>
          <w:sz w:val="24"/>
          <w:szCs w:val="24"/>
        </w:rPr>
        <w:t> </w:t>
      </w:r>
      <w:r>
        <w:rPr>
          <w:rFonts w:hint="eastAsia" w:ascii="仿宋" w:hAnsi="仿宋" w:eastAsia="仿宋" w:cs="等线"/>
          <w:sz w:val="24"/>
          <w:szCs w:val="24"/>
        </w:rPr>
        <w:t xml:space="preserve"> </w:t>
      </w:r>
      <w:r>
        <w:rPr>
          <w:rFonts w:eastAsia="仿宋" w:cs="Calibri"/>
          <w:sz w:val="24"/>
          <w:szCs w:val="24"/>
        </w:rPr>
        <w:t> </w:t>
      </w:r>
      <w:r>
        <w:rPr>
          <w:rFonts w:hint="eastAsia" w:ascii="仿宋" w:hAnsi="仿宋" w:eastAsia="仿宋" w:cs="等线"/>
          <w:sz w:val="24"/>
          <w:szCs w:val="24"/>
        </w:rPr>
        <w:t xml:space="preserve"> </w:t>
      </w:r>
      <w:r>
        <w:rPr>
          <w:rFonts w:eastAsia="仿宋" w:cs="Calibri"/>
          <w:sz w:val="24"/>
          <w:szCs w:val="24"/>
        </w:rPr>
        <w:t> </w:t>
      </w:r>
      <w:r>
        <w:rPr>
          <w:rFonts w:hint="eastAsia" w:ascii="仿宋" w:hAnsi="仿宋" w:eastAsia="仿宋" w:cs="等线"/>
          <w:sz w:val="24"/>
          <w:szCs w:val="24"/>
        </w:rPr>
        <w:t>本次论坛的召开旨在进一步推动污泥处理处置技术的进步和应用，提高污泥处理处置效率和资源化利用水平。论坛将邀请国内外污泥处理处置领域的专家学者、企业代表和政府部门人员，共同探讨污泥处理处置技术的发展趋势、创新应用和市场前景，分享成功案例和经验教训，促进产学研用深度融合，为推动我国污泥处理处置行业的健康发展贡献力量。上海作为我国的经济中心和科技创新高地，拥有众多高校、科研机构和污泥处理处置企业，为论坛的举办提供了良好的资源和条件。论坛的举办也将进一步促进上海及周边地区污泥处理处置技术的交流和合作，推动区域环保产业的协同发展。</w:t>
      </w:r>
    </w:p>
    <w:p>
      <w:pPr>
        <w:spacing w:line="400" w:lineRule="exact"/>
        <w:rPr>
          <w:rFonts w:ascii="仿宋" w:hAnsi="仿宋" w:eastAsia="仿宋" w:cs="等线"/>
          <w:b/>
          <w:bCs/>
          <w:sz w:val="24"/>
          <w:szCs w:val="24"/>
        </w:rPr>
      </w:pPr>
    </w:p>
    <w:p>
      <w:pPr>
        <w:spacing w:line="400" w:lineRule="exact"/>
        <w:rPr>
          <w:rFonts w:ascii="仿宋" w:hAnsi="仿宋" w:eastAsia="仿宋" w:cs="等线"/>
          <w:b/>
          <w:bCs/>
          <w:sz w:val="24"/>
          <w:szCs w:val="24"/>
        </w:rPr>
      </w:pPr>
      <w:bookmarkStart w:id="0" w:name="_Hlk165295966"/>
      <w:r>
        <w:rPr>
          <w:rFonts w:hint="eastAsia" w:ascii="仿宋" w:hAnsi="仿宋" w:eastAsia="仿宋" w:cs="等线"/>
          <w:b/>
          <w:bCs/>
          <w:sz w:val="24"/>
          <w:szCs w:val="24"/>
        </w:rPr>
        <w:t>二．组织机构</w:t>
      </w:r>
    </w:p>
    <w:p>
      <w:pPr>
        <w:spacing w:line="400" w:lineRule="exact"/>
        <w:jc w:val="left"/>
        <w:rPr>
          <w:rFonts w:hint="default" w:ascii="仿宋" w:hAnsi="仿宋" w:eastAsia="仿宋" w:cs="等线"/>
          <w:b/>
          <w:bCs/>
          <w:color w:val="FF0000"/>
          <w:sz w:val="24"/>
          <w:szCs w:val="24"/>
          <w:lang w:val="en-US"/>
        </w:rPr>
      </w:pPr>
      <w:r>
        <w:rPr>
          <w:rFonts w:hint="eastAsia" w:ascii="仿宋" w:hAnsi="仿宋" w:eastAsia="仿宋" w:cs="等线"/>
          <w:b/>
          <w:bCs/>
          <w:color w:val="FF0000"/>
          <w:sz w:val="24"/>
          <w:szCs w:val="24"/>
        </w:rPr>
        <w:t>主办单位：</w:t>
      </w:r>
      <w:r>
        <w:rPr>
          <w:rFonts w:hint="eastAsia" w:ascii="仿宋" w:hAnsi="仿宋" w:eastAsia="仿宋" w:cs="等线"/>
          <w:b/>
          <w:bCs/>
          <w:color w:val="FF0000"/>
          <w:sz w:val="24"/>
          <w:szCs w:val="24"/>
          <w:lang w:eastAsia="zh-CN"/>
        </w:rPr>
        <w:t>《</w:t>
      </w:r>
      <w:r>
        <w:rPr>
          <w:rFonts w:hint="eastAsia" w:ascii="仿宋" w:hAnsi="仿宋" w:eastAsia="仿宋" w:cs="等线"/>
          <w:b/>
          <w:bCs/>
          <w:color w:val="FF0000"/>
          <w:sz w:val="24"/>
          <w:szCs w:val="24"/>
        </w:rPr>
        <w:t>中国给水排水</w:t>
      </w:r>
      <w:r>
        <w:rPr>
          <w:rFonts w:hint="eastAsia" w:ascii="仿宋" w:hAnsi="仿宋" w:eastAsia="仿宋" w:cs="等线"/>
          <w:b/>
          <w:bCs/>
          <w:color w:val="FF0000"/>
          <w:sz w:val="24"/>
          <w:szCs w:val="24"/>
          <w:lang w:eastAsia="zh-CN"/>
        </w:rPr>
        <w:t>》</w:t>
      </w:r>
      <w:r>
        <w:rPr>
          <w:rFonts w:hint="eastAsia" w:ascii="仿宋" w:hAnsi="仿宋" w:eastAsia="仿宋" w:cs="等线"/>
          <w:b/>
          <w:bCs/>
          <w:color w:val="FF0000"/>
          <w:sz w:val="24"/>
          <w:szCs w:val="24"/>
          <w:lang w:val="en-US" w:eastAsia="zh-CN"/>
        </w:rPr>
        <w:t>杂志社有限公司</w:t>
      </w:r>
    </w:p>
    <w:p>
      <w:pPr>
        <w:spacing w:line="400" w:lineRule="exact"/>
        <w:jc w:val="left"/>
        <w:rPr>
          <w:rFonts w:ascii="仿宋" w:hAnsi="仿宋" w:eastAsia="仿宋" w:cs="等线"/>
          <w:sz w:val="24"/>
          <w:szCs w:val="24"/>
        </w:rPr>
      </w:pPr>
      <w:r>
        <w:rPr>
          <w:rFonts w:hint="eastAsia" w:ascii="仿宋" w:hAnsi="仿宋" w:eastAsia="仿宋" w:cs="等线"/>
          <w:sz w:val="24"/>
          <w:szCs w:val="24"/>
        </w:rPr>
        <w:t>承办单位：上海荷瑞展览有限公司</w:t>
      </w:r>
    </w:p>
    <w:bookmarkEnd w:id="0"/>
    <w:p>
      <w:pPr>
        <w:spacing w:before="156" w:beforeLines="50" w:after="156" w:afterLines="50" w:line="400" w:lineRule="exact"/>
        <w:rPr>
          <w:rFonts w:ascii="仿宋" w:hAnsi="仿宋" w:eastAsia="仿宋" w:cs="等线"/>
          <w:b/>
          <w:bCs/>
          <w:sz w:val="24"/>
          <w:szCs w:val="24"/>
        </w:rPr>
      </w:pPr>
      <w:r>
        <w:rPr>
          <w:rFonts w:hint="eastAsia" w:ascii="仿宋" w:hAnsi="仿宋" w:eastAsia="仿宋" w:cs="等线"/>
          <w:b/>
          <w:bCs/>
          <w:sz w:val="24"/>
          <w:szCs w:val="24"/>
        </w:rPr>
        <w:t>三、会议时间与污泥产品展示地点</w:t>
      </w:r>
    </w:p>
    <w:p>
      <w:pPr>
        <w:pStyle w:val="4"/>
        <w:shd w:val="clear" w:color="auto" w:fill="FFFFFF"/>
        <w:spacing w:before="0" w:beforeAutospacing="0" w:after="150" w:afterAutospacing="0" w:line="240" w:lineRule="exact"/>
        <w:rPr>
          <w:rFonts w:ascii="仿宋" w:hAnsi="仿宋" w:eastAsia="仿宋" w:cs="等线"/>
          <w:b w:val="0"/>
          <w:bCs w:val="0"/>
          <w:kern w:val="2"/>
          <w:sz w:val="24"/>
          <w:szCs w:val="24"/>
        </w:rPr>
      </w:pPr>
      <w:r>
        <w:rPr>
          <w:rFonts w:hint="eastAsia" w:ascii="仿宋" w:hAnsi="仿宋" w:eastAsia="仿宋" w:cs="等线"/>
          <w:b w:val="0"/>
          <w:bCs w:val="0"/>
          <w:kern w:val="2"/>
          <w:sz w:val="24"/>
          <w:szCs w:val="24"/>
        </w:rPr>
        <w:t>会议名称：中国给水排水2024年污泥处理处置论坛（上海）</w:t>
      </w:r>
      <w:bookmarkStart w:id="1" w:name="_Hlk165296061"/>
    </w:p>
    <w:p>
      <w:pPr>
        <w:pStyle w:val="4"/>
        <w:shd w:val="clear" w:color="auto" w:fill="FFFFFF"/>
        <w:spacing w:before="0" w:beforeAutospacing="0" w:after="150" w:afterAutospacing="0" w:line="240" w:lineRule="exact"/>
        <w:rPr>
          <w:rFonts w:ascii="仿宋" w:hAnsi="仿宋" w:eastAsia="仿宋" w:cs="等线"/>
          <w:b w:val="0"/>
          <w:bCs w:val="0"/>
          <w:kern w:val="2"/>
          <w:sz w:val="24"/>
          <w:szCs w:val="24"/>
        </w:rPr>
      </w:pPr>
      <w:r>
        <w:rPr>
          <w:rFonts w:hint="eastAsia" w:ascii="仿宋" w:hAnsi="仿宋" w:eastAsia="仿宋" w:cs="等线"/>
          <w:b w:val="0"/>
          <w:bCs w:val="0"/>
          <w:kern w:val="2"/>
          <w:sz w:val="24"/>
          <w:szCs w:val="24"/>
        </w:rPr>
        <w:t>会议时间：2024年6月3日下午13:30-16:30</w:t>
      </w:r>
    </w:p>
    <w:p>
      <w:pPr>
        <w:pStyle w:val="4"/>
        <w:shd w:val="clear" w:color="auto" w:fill="FFFFFF"/>
        <w:spacing w:before="0" w:beforeAutospacing="0" w:after="150" w:afterAutospacing="0" w:line="240" w:lineRule="exact"/>
        <w:rPr>
          <w:rFonts w:ascii="仿宋" w:hAnsi="仿宋" w:eastAsia="仿宋" w:cs="等线"/>
          <w:b w:val="0"/>
          <w:bCs w:val="0"/>
          <w:kern w:val="2"/>
          <w:sz w:val="24"/>
          <w:szCs w:val="24"/>
        </w:rPr>
      </w:pPr>
      <w:r>
        <w:rPr>
          <w:rFonts w:hint="eastAsia" w:ascii="仿宋" w:hAnsi="仿宋" w:eastAsia="仿宋" w:cs="等线"/>
          <w:b w:val="0"/>
          <w:bCs w:val="0"/>
          <w:kern w:val="2"/>
          <w:sz w:val="24"/>
          <w:szCs w:val="24"/>
        </w:rPr>
        <w:t>会议地点：上海|国家会展中心（虹桥） 6.1号馆会议室B</w:t>
      </w:r>
    </w:p>
    <w:p>
      <w:pPr>
        <w:pStyle w:val="4"/>
        <w:shd w:val="clear" w:color="auto" w:fill="FFFFFF"/>
        <w:spacing w:before="0" w:beforeAutospacing="0" w:after="150" w:afterAutospacing="0" w:line="240" w:lineRule="exact"/>
        <w:rPr>
          <w:rFonts w:ascii="仿宋" w:hAnsi="仿宋" w:eastAsia="仿宋" w:cs="等线"/>
          <w:b w:val="0"/>
          <w:bCs w:val="0"/>
          <w:kern w:val="2"/>
          <w:sz w:val="24"/>
          <w:szCs w:val="24"/>
        </w:rPr>
      </w:pPr>
      <w:r>
        <w:rPr>
          <w:rFonts w:hint="eastAsia" w:ascii="仿宋" w:hAnsi="仿宋" w:eastAsia="仿宋" w:cs="等线"/>
          <w:b w:val="0"/>
          <w:bCs w:val="0"/>
          <w:kern w:val="2"/>
          <w:sz w:val="24"/>
          <w:szCs w:val="24"/>
        </w:rPr>
        <w:t>污泥处置馆展示地点：上海|国家会展中心（虹桥）6.1号馆(展示时间6月3-5日三天)</w:t>
      </w:r>
    </w:p>
    <w:p>
      <w:pPr>
        <w:pStyle w:val="4"/>
        <w:shd w:val="clear" w:color="auto" w:fill="FFFFFF"/>
        <w:spacing w:before="0" w:beforeAutospacing="0" w:after="150" w:afterAutospacing="0" w:line="240" w:lineRule="exact"/>
        <w:rPr>
          <w:rFonts w:ascii="仿宋" w:hAnsi="仿宋" w:eastAsia="仿宋" w:cs="等线"/>
          <w:b w:val="0"/>
          <w:bCs w:val="0"/>
          <w:kern w:val="2"/>
          <w:sz w:val="24"/>
          <w:szCs w:val="24"/>
        </w:rPr>
      </w:pPr>
      <w:r>
        <w:rPr>
          <w:rFonts w:hint="eastAsia" w:ascii="仿宋" w:hAnsi="仿宋" w:eastAsia="仿宋" w:cs="等线"/>
          <w:b w:val="0"/>
          <w:bCs w:val="0"/>
          <w:kern w:val="2"/>
          <w:sz w:val="24"/>
          <w:szCs w:val="24"/>
        </w:rPr>
        <w:t>会议报到：2024年6月3日6.1号馆，展馆8号门门口(9点半-11点之前报到，提供餐券</w:t>
      </w:r>
      <w:r>
        <w:rPr>
          <w:rFonts w:ascii="仿宋" w:hAnsi="仿宋" w:eastAsia="仿宋" w:cs="等线"/>
          <w:b w:val="0"/>
          <w:bCs w:val="0"/>
          <w:kern w:val="2"/>
          <w:sz w:val="24"/>
          <w:szCs w:val="24"/>
        </w:rPr>
        <w:t>，</w:t>
      </w:r>
      <w:r>
        <w:rPr>
          <w:rFonts w:hint="eastAsia" w:ascii="仿宋" w:hAnsi="仿宋" w:eastAsia="仿宋" w:cs="等线"/>
          <w:b w:val="0"/>
          <w:bCs w:val="0"/>
          <w:kern w:val="2"/>
          <w:sz w:val="24"/>
          <w:szCs w:val="24"/>
        </w:rPr>
        <w:t>礼品等)</w:t>
      </w:r>
    </w:p>
    <w:p>
      <w:pPr>
        <w:pStyle w:val="4"/>
        <w:shd w:val="clear" w:color="auto" w:fill="FFFFFF"/>
        <w:spacing w:before="0" w:beforeAutospacing="0" w:after="150" w:afterAutospacing="0" w:line="240" w:lineRule="exact"/>
        <w:rPr>
          <w:rFonts w:ascii="仿宋" w:hAnsi="仿宋" w:eastAsia="仿宋" w:cs="等线"/>
          <w:b w:val="0"/>
          <w:bCs w:val="0"/>
          <w:kern w:val="2"/>
          <w:sz w:val="24"/>
          <w:szCs w:val="24"/>
        </w:rPr>
      </w:pPr>
      <w:r>
        <w:rPr>
          <w:rFonts w:hint="eastAsia" w:ascii="仿宋" w:hAnsi="仿宋" w:eastAsia="仿宋" w:cs="等线"/>
          <w:b w:val="0"/>
          <w:bCs w:val="0"/>
          <w:kern w:val="2"/>
          <w:sz w:val="24"/>
          <w:szCs w:val="24"/>
        </w:rPr>
        <w:t>展示范围：污泥处置技术及相关产品</w:t>
      </w:r>
      <w:bookmarkEnd w:id="1"/>
    </w:p>
    <w:p>
      <w:pPr>
        <w:pStyle w:val="4"/>
        <w:shd w:val="clear" w:color="auto" w:fill="FFFFFF"/>
        <w:spacing w:before="0" w:beforeAutospacing="0" w:after="150" w:afterAutospacing="0" w:line="240" w:lineRule="exact"/>
        <w:rPr>
          <w:rFonts w:ascii="仿宋" w:hAnsi="仿宋" w:eastAsia="仿宋" w:cs="等线"/>
          <w:b w:val="0"/>
          <w:bCs w:val="0"/>
          <w:kern w:val="2"/>
          <w:sz w:val="24"/>
          <w:szCs w:val="24"/>
        </w:rPr>
      </w:pPr>
      <w:r>
        <w:rPr>
          <w:rFonts w:hint="eastAsia" w:ascii="仿宋" w:hAnsi="仿宋" w:eastAsia="仿宋" w:cs="等线"/>
          <w:b w:val="0"/>
          <w:bCs w:val="0"/>
          <w:kern w:val="2"/>
          <w:sz w:val="24"/>
          <w:szCs w:val="24"/>
        </w:rPr>
        <w:t>会议规模：150-200人</w:t>
      </w:r>
    </w:p>
    <w:p>
      <w:pPr>
        <w:spacing w:line="240" w:lineRule="atLeast"/>
        <w:rPr>
          <w:rFonts w:ascii="仿宋" w:hAnsi="仿宋" w:eastAsia="仿宋" w:cs="等线"/>
          <w:b/>
          <w:bCs/>
          <w:szCs w:val="21"/>
        </w:rPr>
      </w:pPr>
    </w:p>
    <w:p>
      <w:pPr>
        <w:spacing w:line="240" w:lineRule="atLeast"/>
        <w:rPr>
          <w:rFonts w:ascii="仿宋" w:hAnsi="仿宋" w:eastAsia="仿宋" w:cs="等线"/>
          <w:b/>
          <w:bCs/>
          <w:sz w:val="24"/>
          <w:szCs w:val="24"/>
        </w:rPr>
      </w:pPr>
      <w:r>
        <w:rPr>
          <w:rFonts w:hint="eastAsia" w:ascii="仿宋" w:hAnsi="仿宋" w:eastAsia="仿宋" w:cs="等线"/>
          <w:b/>
          <w:bCs/>
          <w:sz w:val="24"/>
          <w:szCs w:val="24"/>
        </w:rPr>
        <w:t>四、展馆交通</w:t>
      </w:r>
    </w:p>
    <w:p>
      <w:pPr>
        <w:spacing w:line="400" w:lineRule="exact"/>
        <w:rPr>
          <w:rFonts w:ascii="仿宋" w:hAnsi="仿宋" w:eastAsia="仿宋" w:cs="宋体"/>
          <w:kern w:val="0"/>
          <w:sz w:val="24"/>
          <w:szCs w:val="24"/>
        </w:rPr>
      </w:pPr>
      <w:r>
        <w:rPr>
          <w:rFonts w:hint="eastAsia" w:ascii="仿宋" w:hAnsi="仿宋" w:eastAsia="仿宋" w:cs="等线"/>
          <w:b/>
          <w:bCs/>
          <w:sz w:val="24"/>
          <w:szCs w:val="24"/>
        </w:rPr>
        <w:t>自驾：</w:t>
      </w:r>
      <w:r>
        <w:rPr>
          <w:rFonts w:hint="eastAsia" w:ascii="仿宋" w:hAnsi="仿宋" w:eastAsia="仿宋" w:cs="等线"/>
          <w:sz w:val="24"/>
          <w:szCs w:val="24"/>
        </w:rPr>
        <w:t>自驾至涞港路111号，由展馆18号门驶入。在南广场停车后，直接由南广场扶梯至南登录厅进行登录。</w:t>
      </w:r>
    </w:p>
    <w:p>
      <w:pPr>
        <w:spacing w:line="400" w:lineRule="exact"/>
        <w:rPr>
          <w:rFonts w:ascii="仿宋" w:hAnsi="仿宋" w:eastAsia="仿宋" w:cs="宋体"/>
          <w:kern w:val="0"/>
          <w:sz w:val="24"/>
          <w:szCs w:val="24"/>
        </w:rPr>
      </w:pPr>
      <w:r>
        <w:rPr>
          <w:rFonts w:hint="eastAsia" w:ascii="仿宋" w:hAnsi="仿宋" w:eastAsia="仿宋" w:cs="等线"/>
          <w:b/>
          <w:bCs/>
          <w:sz w:val="24"/>
          <w:szCs w:val="24"/>
        </w:rPr>
        <w:t>出租车：</w:t>
      </w:r>
      <w:r>
        <w:rPr>
          <w:rFonts w:hint="eastAsia" w:ascii="仿宋" w:hAnsi="仿宋" w:eastAsia="仿宋" w:cs="等线"/>
          <w:sz w:val="24"/>
          <w:szCs w:val="24"/>
        </w:rPr>
        <w:t>推荐在涞港路111号下客，由展馆18号门步行进入南广场。直接由南广场扶梯至南登录厅进行登录</w:t>
      </w:r>
      <w:r>
        <w:rPr>
          <w:rFonts w:hint="eastAsia" w:ascii="仿宋" w:hAnsi="仿宋" w:eastAsia="仿宋" w:cs="宋体"/>
          <w:kern w:val="0"/>
          <w:sz w:val="24"/>
          <w:szCs w:val="24"/>
        </w:rPr>
        <w:t>。</w:t>
      </w:r>
    </w:p>
    <w:p>
      <w:pPr>
        <w:spacing w:line="400" w:lineRule="exact"/>
        <w:rPr>
          <w:rFonts w:ascii="仿宋" w:hAnsi="仿宋" w:eastAsia="仿宋" w:cs="宋体"/>
          <w:kern w:val="0"/>
          <w:sz w:val="24"/>
          <w:szCs w:val="24"/>
        </w:rPr>
      </w:pPr>
      <w:r>
        <w:rPr>
          <w:rFonts w:hint="eastAsia" w:ascii="仿宋" w:hAnsi="仿宋" w:eastAsia="仿宋" w:cs="等线"/>
          <w:b/>
          <w:bCs/>
          <w:sz w:val="24"/>
          <w:szCs w:val="24"/>
        </w:rPr>
        <w:t>地铁：</w:t>
      </w:r>
      <w:r>
        <w:rPr>
          <w:rFonts w:hint="eastAsia" w:ascii="仿宋" w:hAnsi="仿宋" w:eastAsia="仿宋" w:cs="等线"/>
          <w:sz w:val="24"/>
          <w:szCs w:val="24"/>
        </w:rPr>
        <w:t>地铁2号线徐泾东站4、5、6号口出站，乘坐短驳电瓶车，至7、8号馆尾端。在馆间通道口进行登录。</w:t>
      </w:r>
    </w:p>
    <w:p>
      <w:pPr>
        <w:spacing w:before="156" w:beforeLines="50" w:line="400" w:lineRule="exact"/>
        <w:rPr>
          <w:rFonts w:ascii="仿宋" w:hAnsi="仿宋" w:eastAsia="仿宋" w:cs="等线"/>
          <w:sz w:val="24"/>
          <w:szCs w:val="24"/>
        </w:rPr>
      </w:pPr>
      <w:r>
        <w:rPr>
          <w:rFonts w:hint="eastAsia" w:ascii="仿宋" w:hAnsi="仿宋" w:eastAsia="仿宋" w:cs="等线"/>
          <w:sz w:val="24"/>
          <w:szCs w:val="24"/>
        </w:rPr>
        <w:t>详细内容可登陆官网：</w:t>
      </w:r>
      <w:r>
        <w:rPr>
          <w:rFonts w:ascii="仿宋" w:hAnsi="仿宋" w:eastAsia="仿宋" w:cs="等线"/>
          <w:sz w:val="24"/>
          <w:szCs w:val="24"/>
        </w:rPr>
        <w:t>https://wastewater.watertechsh.cn/，或关注展会官方微信号：</w:t>
      </w:r>
      <w:r>
        <w:rPr>
          <w:rFonts w:hint="eastAsia" w:ascii="仿宋" w:hAnsi="仿宋" w:eastAsia="仿宋" w:cs="等线"/>
          <w:sz w:val="24"/>
          <w:szCs w:val="24"/>
        </w:rPr>
        <w:t>上海国际水展WATERTECH</w:t>
      </w:r>
    </w:p>
    <w:p>
      <w:pPr>
        <w:rPr>
          <w:rFonts w:ascii="仿宋" w:hAnsi="仿宋" w:eastAsia="仿宋"/>
          <w:sz w:val="24"/>
          <w:szCs w:val="24"/>
        </w:rPr>
      </w:pPr>
    </w:p>
    <w:p>
      <w:pPr>
        <w:spacing w:line="400" w:lineRule="exact"/>
        <w:rPr>
          <w:rFonts w:ascii="仿宋" w:hAnsi="仿宋" w:eastAsia="仿宋" w:cs="等线"/>
          <w:sz w:val="24"/>
          <w:szCs w:val="24"/>
        </w:rPr>
      </w:pPr>
      <w:r>
        <w:rPr>
          <w:rFonts w:hint="eastAsia" w:ascii="仿宋" w:hAnsi="仿宋" w:eastAsia="仿宋" w:cs="等线"/>
          <w:b/>
          <w:bCs/>
          <w:sz w:val="24"/>
          <w:szCs w:val="24"/>
        </w:rPr>
        <w:t>四、南登录厅污泥会议室及污泥展示区进馆示意图</w:t>
      </w:r>
    </w:p>
    <w:p>
      <w:pPr>
        <w:spacing w:line="400" w:lineRule="exact"/>
        <w:rPr>
          <w:rFonts w:ascii="仿宋" w:hAnsi="仿宋" w:eastAsia="仿宋" w:cs="等线"/>
          <w:sz w:val="24"/>
          <w:szCs w:val="24"/>
        </w:rPr>
      </w:pPr>
      <w:r>
        <w:rPr>
          <w:rFonts w:hint="eastAsia" w:ascii="仿宋" w:hAnsi="仿宋" w:eastAsia="仿宋" w:cs="等线"/>
          <w:sz w:val="24"/>
          <w:szCs w:val="24"/>
        </w:rPr>
        <w:t>污泥会议室靠近6.1号馆8号门门口走到底(6.1号馆会议室B)</w:t>
      </w:r>
    </w:p>
    <w:p>
      <w:pPr>
        <w:spacing w:line="400" w:lineRule="exact"/>
        <w:rPr>
          <w:rFonts w:ascii="仿宋" w:hAnsi="仿宋" w:eastAsia="仿宋" w:cs="等线"/>
          <w:szCs w:val="21"/>
        </w:rPr>
      </w:pPr>
    </w:p>
    <w:p>
      <w:pPr>
        <w:pStyle w:val="2"/>
        <w:rPr>
          <w:rFonts w:ascii="仿宋" w:hAnsi="仿宋" w:eastAsia="仿宋"/>
        </w:rPr>
      </w:pPr>
      <w:r>
        <w:rPr>
          <w:rFonts w:ascii="仿宋" w:hAnsi="仿宋" w:eastAsia="仿宋" w:cs="宋体"/>
          <w:b/>
          <w:bCs/>
        </w:rPr>
        <w:drawing>
          <wp:anchor distT="0" distB="0" distL="114300" distR="114300" simplePos="0" relativeHeight="251660288" behindDoc="0" locked="0" layoutInCell="1" allowOverlap="1">
            <wp:simplePos x="0" y="0"/>
            <wp:positionH relativeFrom="margin">
              <wp:posOffset>-635</wp:posOffset>
            </wp:positionH>
            <wp:positionV relativeFrom="paragraph">
              <wp:posOffset>10795</wp:posOffset>
            </wp:positionV>
            <wp:extent cx="4838065" cy="3764915"/>
            <wp:effectExtent l="0" t="0" r="635" b="6985"/>
            <wp:wrapNone/>
            <wp:docPr id="138556988" name="图片 1"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556988" name="图片 1" descr="图示&#10;&#10;描述已自动生成"/>
                    <pic:cNvPicPr>
                      <a:picLocks noChangeAspect="1" noChangeArrowheads="1"/>
                    </pic:cNvPicPr>
                  </pic:nvPicPr>
                  <pic:blipFill>
                    <a:blip r:embed="rId4">
                      <a:extLst>
                        <a:ext uri="{28A0092B-C50C-407E-A947-70E740481C1C}">
                          <a14:useLocalDpi xmlns:a14="http://schemas.microsoft.com/office/drawing/2010/main" val="0"/>
                        </a:ext>
                      </a:extLst>
                    </a:blip>
                    <a:srcRect t="6307"/>
                    <a:stretch>
                      <a:fillRect/>
                    </a:stretch>
                  </pic:blipFill>
                  <pic:spPr>
                    <a:xfrm>
                      <a:off x="0" y="0"/>
                      <a:ext cx="4838065" cy="3764915"/>
                    </a:xfrm>
                    <a:prstGeom prst="rect">
                      <a:avLst/>
                    </a:prstGeom>
                    <a:noFill/>
                    <a:ln>
                      <a:noFill/>
                    </a:ln>
                  </pic:spPr>
                </pic:pic>
              </a:graphicData>
            </a:graphic>
          </wp:anchor>
        </w:drawing>
      </w:r>
    </w:p>
    <w:p>
      <w:pPr>
        <w:rPr>
          <w:rFonts w:ascii="仿宋" w:hAnsi="仿宋" w:eastAsia="仿宋"/>
        </w:rPr>
      </w:pPr>
    </w:p>
    <w:p>
      <w:pPr>
        <w:pStyle w:val="2"/>
        <w:rPr>
          <w:rFonts w:ascii="仿宋" w:hAnsi="仿宋" w:eastAsia="仿宋"/>
        </w:rPr>
      </w:pPr>
    </w:p>
    <w:p>
      <w:pPr>
        <w:rPr>
          <w:rFonts w:ascii="仿宋" w:hAnsi="仿宋" w:eastAsia="仿宋"/>
        </w:rPr>
      </w:pPr>
    </w:p>
    <w:p>
      <w:pPr>
        <w:pStyle w:val="2"/>
        <w:rPr>
          <w:rFonts w:ascii="仿宋" w:hAnsi="仿宋" w:eastAsia="仿宋"/>
        </w:rPr>
      </w:pPr>
    </w:p>
    <w:p>
      <w:pPr>
        <w:rPr>
          <w:rFonts w:ascii="仿宋" w:hAnsi="仿宋" w:eastAsia="仿宋"/>
        </w:rPr>
      </w:pPr>
    </w:p>
    <w:p>
      <w:pPr>
        <w:pStyle w:val="2"/>
        <w:rPr>
          <w:rFonts w:ascii="仿宋" w:hAnsi="仿宋" w:eastAsia="仿宋"/>
        </w:rPr>
      </w:pPr>
    </w:p>
    <w:p>
      <w:pPr>
        <w:rPr>
          <w:rFonts w:ascii="仿宋" w:hAnsi="仿宋" w:eastAsia="仿宋"/>
        </w:rPr>
      </w:pPr>
    </w:p>
    <w:p>
      <w:pPr>
        <w:pStyle w:val="2"/>
        <w:rPr>
          <w:rFonts w:ascii="仿宋" w:hAnsi="仿宋" w:eastAsia="仿宋"/>
        </w:rPr>
      </w:pPr>
    </w:p>
    <w:p>
      <w:pPr>
        <w:rPr>
          <w:rFonts w:ascii="仿宋" w:hAnsi="仿宋" w:eastAsia="仿宋"/>
        </w:rPr>
      </w:pPr>
    </w:p>
    <w:p>
      <w:pPr>
        <w:pStyle w:val="2"/>
        <w:rPr>
          <w:rFonts w:ascii="仿宋" w:hAnsi="仿宋" w:eastAsia="仿宋"/>
        </w:rPr>
      </w:pPr>
    </w:p>
    <w:p>
      <w:pPr>
        <w:rPr>
          <w:rFonts w:ascii="仿宋" w:hAnsi="仿宋" w:eastAsia="仿宋"/>
        </w:rPr>
      </w:pPr>
    </w:p>
    <w:p>
      <w:pPr>
        <w:pStyle w:val="2"/>
        <w:rPr>
          <w:rFonts w:ascii="仿宋" w:hAnsi="仿宋" w:eastAsia="仿宋"/>
        </w:rPr>
      </w:pPr>
    </w:p>
    <w:p>
      <w:pPr>
        <w:rPr>
          <w:rFonts w:ascii="仿宋" w:hAnsi="仿宋" w:eastAsia="仿宋"/>
        </w:rPr>
      </w:pPr>
    </w:p>
    <w:p>
      <w:pPr>
        <w:jc w:val="right"/>
        <w:rPr>
          <w:rFonts w:ascii="仿宋" w:hAnsi="仿宋" w:eastAsia="仿宋" w:cs="等线"/>
          <w:b/>
          <w:bCs/>
          <w:kern w:val="0"/>
          <w:sz w:val="24"/>
          <w:szCs w:val="24"/>
        </w:rPr>
      </w:pPr>
      <w:r>
        <w:rPr>
          <w:rFonts w:hint="eastAsia" w:ascii="仿宋" w:hAnsi="仿宋" w:eastAsia="仿宋" w:cs="等线"/>
          <w:b/>
          <w:bCs/>
          <w:kern w:val="0"/>
          <w:sz w:val="24"/>
          <w:szCs w:val="24"/>
        </w:rPr>
        <w:t>中国给水排水</w:t>
      </w:r>
    </w:p>
    <w:p>
      <w:pPr>
        <w:jc w:val="right"/>
        <w:rPr>
          <w:rFonts w:ascii="仿宋" w:hAnsi="仿宋" w:eastAsia="仿宋" w:cs="等线"/>
          <w:b/>
          <w:bCs/>
          <w:sz w:val="24"/>
          <w:szCs w:val="24"/>
        </w:rPr>
      </w:pPr>
      <w:r>
        <w:rPr>
          <w:rFonts w:hint="eastAsia" w:ascii="仿宋" w:hAnsi="仿宋" w:eastAsia="仿宋" w:cs="等线"/>
          <w:b/>
          <w:bCs/>
          <w:sz w:val="24"/>
          <w:szCs w:val="24"/>
        </w:rPr>
        <w:t>二维码扫码报名</w:t>
      </w:r>
    </w:p>
    <w:p>
      <w:pPr>
        <w:rPr>
          <w:rFonts w:ascii="仿宋" w:hAnsi="仿宋" w:eastAsia="仿宋"/>
        </w:rPr>
      </w:pPr>
      <w:r>
        <w:rPr>
          <w:rFonts w:ascii="仿宋" w:hAnsi="仿宋" w:eastAsia="仿宋"/>
        </w:rPr>
        <w:drawing>
          <wp:anchor distT="0" distB="0" distL="114300" distR="114300" simplePos="0" relativeHeight="251661312" behindDoc="1" locked="0" layoutInCell="1" allowOverlap="1">
            <wp:simplePos x="0" y="0"/>
            <wp:positionH relativeFrom="margin">
              <wp:posOffset>4248785</wp:posOffset>
            </wp:positionH>
            <wp:positionV relativeFrom="paragraph">
              <wp:posOffset>137795</wp:posOffset>
            </wp:positionV>
            <wp:extent cx="1065530" cy="1198880"/>
            <wp:effectExtent l="0" t="0" r="1905" b="1905"/>
            <wp:wrapNone/>
            <wp:docPr id="17998566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9856625" name="图片 1"/>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1065475" cy="1198659"/>
                    </a:xfrm>
                    <a:prstGeom prst="rect">
                      <a:avLst/>
                    </a:prstGeom>
                  </pic:spPr>
                </pic:pic>
              </a:graphicData>
            </a:graphic>
          </wp:anchor>
        </w:drawing>
      </w:r>
    </w:p>
    <w:p>
      <w:pPr>
        <w:rPr>
          <w:rFonts w:ascii="仿宋" w:hAnsi="仿宋" w:eastAsia="仿宋"/>
        </w:rPr>
      </w:pPr>
    </w:p>
    <w:p>
      <w:pPr>
        <w:rPr>
          <w:rFonts w:ascii="仿宋" w:hAnsi="仿宋" w:eastAsia="仿宋"/>
        </w:rPr>
      </w:pPr>
    </w:p>
    <w:p>
      <w:pPr>
        <w:rPr>
          <w:rFonts w:ascii="仿宋" w:hAnsi="仿宋" w:eastAsia="仿宋"/>
        </w:rPr>
      </w:pPr>
    </w:p>
    <w:p>
      <w:pPr>
        <w:rPr>
          <w:rFonts w:ascii="仿宋" w:hAnsi="仿宋" w:eastAsia="仿宋"/>
        </w:rPr>
      </w:pPr>
    </w:p>
    <w:p>
      <w:pPr>
        <w:pStyle w:val="2"/>
      </w:pPr>
    </w:p>
    <w:p>
      <w:pPr>
        <w:jc w:val="right"/>
        <w:rPr>
          <w:rFonts w:ascii="仿宋" w:hAnsi="仿宋" w:eastAsia="仿宋" w:cs="等线"/>
          <w:b/>
          <w:bCs/>
          <w:kern w:val="0"/>
          <w:sz w:val="24"/>
          <w:szCs w:val="24"/>
        </w:rPr>
      </w:pPr>
      <w:r>
        <w:rPr>
          <w:rFonts w:hint="eastAsia" w:ascii="仿宋" w:hAnsi="仿宋" w:eastAsia="仿宋" w:cs="等线"/>
          <w:b/>
          <w:bCs/>
          <w:kern w:val="0"/>
          <w:sz w:val="24"/>
          <w:szCs w:val="24"/>
        </w:rPr>
        <w:t>2024年5月6日</w:t>
      </w:r>
    </w:p>
    <w:p>
      <w:pPr>
        <w:pStyle w:val="2"/>
        <w:rPr>
          <w:rFonts w:ascii="仿宋" w:hAnsi="仿宋" w:eastAsia="仿宋" w:cs="等线"/>
          <w:b/>
          <w:bCs/>
          <w:sz w:val="24"/>
          <w:szCs w:val="24"/>
        </w:rPr>
      </w:pPr>
      <w:r>
        <w:rPr>
          <w:rFonts w:hint="eastAsia" w:ascii="仿宋" w:hAnsi="仿宋" w:eastAsia="仿宋" w:cs="等线"/>
          <w:b/>
          <w:bCs/>
          <w:sz w:val="24"/>
          <w:szCs w:val="24"/>
        </w:rPr>
        <w:t>五、会议议题</w:t>
      </w:r>
    </w:p>
    <w:p>
      <w:pPr>
        <w:rPr>
          <w:rFonts w:ascii="仿宋" w:hAnsi="仿宋" w:eastAsia="仿宋"/>
        </w:rPr>
      </w:pPr>
    </w:p>
    <w:tbl>
      <w:tblPr>
        <w:tblStyle w:val="10"/>
        <w:tblW w:w="9356" w:type="dxa"/>
        <w:tblInd w:w="-572" w:type="dxa"/>
        <w:tblBorders>
          <w:top w:val="dotted" w:color="C3BD96" w:themeColor="background2" w:themeShade="BF" w:sz="4" w:space="0"/>
          <w:left w:val="dotted" w:color="C3BD96" w:themeColor="background2" w:themeShade="BF" w:sz="4" w:space="0"/>
          <w:bottom w:val="dotted" w:color="C3BD96" w:themeColor="background2" w:themeShade="BF" w:sz="4" w:space="0"/>
          <w:right w:val="dotted" w:color="C3BD96" w:themeColor="background2" w:themeShade="BF" w:sz="4" w:space="0"/>
          <w:insideH w:val="dotted" w:color="C3BD96" w:themeColor="background2" w:themeShade="BF" w:sz="4" w:space="0"/>
          <w:insideV w:val="dotted" w:color="C3BD96" w:themeColor="background2" w:themeShade="BF" w:sz="4" w:space="0"/>
        </w:tblBorders>
        <w:tblLayout w:type="fixed"/>
        <w:tblCellMar>
          <w:top w:w="0" w:type="dxa"/>
          <w:left w:w="108" w:type="dxa"/>
          <w:bottom w:w="0" w:type="dxa"/>
          <w:right w:w="108" w:type="dxa"/>
        </w:tblCellMar>
      </w:tblPr>
      <w:tblGrid>
        <w:gridCol w:w="2552"/>
        <w:gridCol w:w="6804"/>
      </w:tblGrid>
      <w:tr>
        <w:tblPrEx>
          <w:tblBorders>
            <w:top w:val="dotted" w:color="C3BD96" w:themeColor="background2" w:themeShade="BF" w:sz="4" w:space="0"/>
            <w:left w:val="dotted" w:color="C3BD96" w:themeColor="background2" w:themeShade="BF" w:sz="4" w:space="0"/>
            <w:bottom w:val="dotted" w:color="C3BD96" w:themeColor="background2" w:themeShade="BF" w:sz="4" w:space="0"/>
            <w:right w:val="dotted" w:color="C3BD96" w:themeColor="background2" w:themeShade="BF" w:sz="4" w:space="0"/>
            <w:insideH w:val="dotted" w:color="C3BD96" w:themeColor="background2" w:themeShade="BF" w:sz="4" w:space="0"/>
            <w:insideV w:val="dotted" w:color="C3BD96" w:themeColor="background2" w:themeShade="BF" w:sz="4" w:space="0"/>
          </w:tblBorders>
          <w:tblCellMar>
            <w:top w:w="0" w:type="dxa"/>
            <w:left w:w="108" w:type="dxa"/>
            <w:bottom w:w="0" w:type="dxa"/>
            <w:right w:w="108" w:type="dxa"/>
          </w:tblCellMar>
        </w:tblPrEx>
        <w:tc>
          <w:tcPr>
            <w:tcW w:w="2552" w:type="dxa"/>
            <w:tcBorders>
              <w:tl2br w:val="nil"/>
              <w:tr2bl w:val="nil"/>
            </w:tcBorders>
            <w:shd w:val="clear" w:color="auto" w:fill="DCE6F2" w:themeFill="accent1" w:themeFillTint="32"/>
          </w:tcPr>
          <w:p>
            <w:pPr>
              <w:spacing w:line="420" w:lineRule="exact"/>
              <w:rPr>
                <w:rFonts w:ascii="仿宋" w:hAnsi="仿宋" w:eastAsia="仿宋"/>
              </w:rPr>
            </w:pPr>
            <w:r>
              <w:rPr>
                <w:rFonts w:hint="eastAsia" w:ascii="仿宋" w:hAnsi="仿宋" w:eastAsia="仿宋" w:cs="等线"/>
                <w:b/>
                <w:bCs/>
                <w:szCs w:val="21"/>
              </w:rPr>
              <w:t>主持人发言</w:t>
            </w:r>
            <w:r>
              <w:rPr>
                <w:rFonts w:hint="eastAsia" w:ascii="仿宋" w:hAnsi="仿宋" w:eastAsia="仿宋"/>
              </w:rPr>
              <w:t>13:00-13:10</w:t>
            </w:r>
          </w:p>
        </w:tc>
        <w:tc>
          <w:tcPr>
            <w:tcW w:w="6804" w:type="dxa"/>
            <w:tcBorders>
              <w:tl2br w:val="nil"/>
              <w:tr2bl w:val="nil"/>
            </w:tcBorders>
          </w:tcPr>
          <w:p>
            <w:pPr>
              <w:spacing w:line="420" w:lineRule="exact"/>
              <w:rPr>
                <w:rFonts w:ascii="仿宋" w:hAnsi="仿宋" w:eastAsia="仿宋" w:cs="等线"/>
                <w:szCs w:val="21"/>
              </w:rPr>
            </w:pPr>
            <w:r>
              <w:rPr>
                <w:rFonts w:hint="eastAsia" w:ascii="仿宋" w:hAnsi="仿宋" w:eastAsia="仿宋" w:cs="等线"/>
                <w:szCs w:val="21"/>
              </w:rPr>
              <w:t>中国给水排水</w:t>
            </w:r>
          </w:p>
        </w:tc>
      </w:tr>
      <w:tr>
        <w:tblPrEx>
          <w:tblBorders>
            <w:top w:val="dotted" w:color="C3BD96" w:themeColor="background2" w:themeShade="BF" w:sz="4" w:space="0"/>
            <w:left w:val="dotted" w:color="C3BD96" w:themeColor="background2" w:themeShade="BF" w:sz="4" w:space="0"/>
            <w:bottom w:val="dotted" w:color="C3BD96" w:themeColor="background2" w:themeShade="BF" w:sz="4" w:space="0"/>
            <w:right w:val="dotted" w:color="C3BD96" w:themeColor="background2" w:themeShade="BF" w:sz="4" w:space="0"/>
            <w:insideH w:val="dotted" w:color="C3BD96" w:themeColor="background2" w:themeShade="BF" w:sz="4" w:space="0"/>
            <w:insideV w:val="dotted" w:color="C3BD96" w:themeColor="background2" w:themeShade="BF" w:sz="4" w:space="0"/>
          </w:tblBorders>
          <w:tblCellMar>
            <w:top w:w="0" w:type="dxa"/>
            <w:left w:w="108" w:type="dxa"/>
            <w:bottom w:w="0" w:type="dxa"/>
            <w:right w:w="108" w:type="dxa"/>
          </w:tblCellMar>
        </w:tblPrEx>
        <w:tc>
          <w:tcPr>
            <w:tcW w:w="2552" w:type="dxa"/>
            <w:tcBorders>
              <w:tl2br w:val="nil"/>
              <w:tr2bl w:val="nil"/>
            </w:tcBorders>
            <w:shd w:val="clear" w:color="auto" w:fill="DCE6F2" w:themeFill="accent1" w:themeFillTint="32"/>
          </w:tcPr>
          <w:p>
            <w:pPr>
              <w:spacing w:line="420" w:lineRule="exact"/>
              <w:rPr>
                <w:rFonts w:ascii="仿宋" w:hAnsi="仿宋" w:eastAsia="仿宋" w:cs="等线"/>
                <w:b/>
                <w:bCs/>
                <w:szCs w:val="21"/>
              </w:rPr>
            </w:pPr>
          </w:p>
        </w:tc>
        <w:tc>
          <w:tcPr>
            <w:tcW w:w="6804" w:type="dxa"/>
            <w:tcBorders>
              <w:tl2br w:val="nil"/>
              <w:tr2bl w:val="nil"/>
            </w:tcBorders>
          </w:tcPr>
          <w:p>
            <w:pPr>
              <w:spacing w:line="420" w:lineRule="exact"/>
              <w:rPr>
                <w:rFonts w:ascii="仿宋" w:hAnsi="仿宋" w:eastAsia="仿宋" w:cs="等线"/>
                <w:b/>
                <w:bCs/>
                <w:szCs w:val="21"/>
              </w:rPr>
            </w:pPr>
            <w:r>
              <w:rPr>
                <w:rFonts w:hint="eastAsia" w:ascii="仿宋" w:hAnsi="仿宋" w:eastAsia="仿宋" w:cs="等线"/>
                <w:b/>
                <w:bCs/>
                <w:szCs w:val="21"/>
              </w:rPr>
              <w:t xml:space="preserve">王领全 </w:t>
            </w:r>
            <w:r>
              <w:rPr>
                <w:rFonts w:hint="eastAsia" w:ascii="仿宋" w:hAnsi="仿宋" w:eastAsia="仿宋" w:cs="等线"/>
                <w:b/>
                <w:bCs/>
                <w:color w:val="FF0000"/>
                <w:szCs w:val="21"/>
                <w:lang w:val="en-US" w:eastAsia="zh-CN"/>
              </w:rPr>
              <w:t>副</w:t>
            </w:r>
            <w:r>
              <w:rPr>
                <w:rFonts w:hint="eastAsia" w:ascii="仿宋" w:hAnsi="仿宋" w:eastAsia="仿宋" w:cs="等线"/>
                <w:b/>
                <w:bCs/>
                <w:color w:val="FF0000"/>
                <w:szCs w:val="21"/>
              </w:rPr>
              <w:t>主编</w:t>
            </w:r>
          </w:p>
        </w:tc>
      </w:tr>
      <w:tr>
        <w:tblPrEx>
          <w:tblBorders>
            <w:top w:val="dotted" w:color="C3BD96" w:themeColor="background2" w:themeShade="BF" w:sz="4" w:space="0"/>
            <w:left w:val="dotted" w:color="C3BD96" w:themeColor="background2" w:themeShade="BF" w:sz="4" w:space="0"/>
            <w:bottom w:val="dotted" w:color="C3BD96" w:themeColor="background2" w:themeShade="BF" w:sz="4" w:space="0"/>
            <w:right w:val="dotted" w:color="C3BD96" w:themeColor="background2" w:themeShade="BF" w:sz="4" w:space="0"/>
            <w:insideH w:val="dotted" w:color="C3BD96" w:themeColor="background2" w:themeShade="BF" w:sz="4" w:space="0"/>
            <w:insideV w:val="dotted" w:color="C3BD96" w:themeColor="background2" w:themeShade="BF" w:sz="4" w:space="0"/>
          </w:tblBorders>
          <w:tblCellMar>
            <w:top w:w="0" w:type="dxa"/>
            <w:left w:w="108" w:type="dxa"/>
            <w:bottom w:w="0" w:type="dxa"/>
            <w:right w:w="108" w:type="dxa"/>
          </w:tblCellMar>
        </w:tblPrEx>
        <w:tc>
          <w:tcPr>
            <w:tcW w:w="2552" w:type="dxa"/>
            <w:tcBorders>
              <w:tl2br w:val="nil"/>
              <w:tr2bl w:val="nil"/>
            </w:tcBorders>
            <w:shd w:val="clear" w:color="auto" w:fill="DCE6F2" w:themeFill="accent1" w:themeFillTint="32"/>
          </w:tcPr>
          <w:p>
            <w:pPr>
              <w:spacing w:line="420" w:lineRule="exact"/>
              <w:rPr>
                <w:rFonts w:ascii="仿宋" w:hAnsi="仿宋" w:eastAsia="仿宋" w:cs="等线"/>
                <w:b/>
                <w:bCs/>
                <w:szCs w:val="21"/>
              </w:rPr>
            </w:pPr>
            <w:r>
              <w:rPr>
                <w:rFonts w:hint="eastAsia" w:ascii="仿宋" w:hAnsi="仿宋" w:eastAsia="仿宋" w:cs="等线"/>
                <w:b/>
                <w:bCs/>
                <w:szCs w:val="21"/>
              </w:rPr>
              <w:t>报告题目一</w:t>
            </w:r>
            <w:r>
              <w:rPr>
                <w:rFonts w:hint="eastAsia" w:ascii="仿宋" w:hAnsi="仿宋" w:eastAsia="仿宋"/>
              </w:rPr>
              <w:t>13:10-13:30</w:t>
            </w:r>
          </w:p>
        </w:tc>
        <w:tc>
          <w:tcPr>
            <w:tcW w:w="6804" w:type="dxa"/>
            <w:tcBorders>
              <w:tl2br w:val="nil"/>
              <w:tr2bl w:val="nil"/>
            </w:tcBorders>
          </w:tcPr>
          <w:p>
            <w:pPr>
              <w:spacing w:line="420" w:lineRule="exact"/>
              <w:rPr>
                <w:rFonts w:ascii="仿宋" w:hAnsi="仿宋" w:eastAsia="仿宋" w:cs="等线"/>
                <w:szCs w:val="21"/>
              </w:rPr>
            </w:pPr>
            <w:r>
              <w:rPr>
                <w:rFonts w:hint="eastAsia" w:ascii="仿宋" w:hAnsi="仿宋" w:eastAsia="仿宋" w:cs="等线"/>
                <w:szCs w:val="21"/>
              </w:rPr>
              <w:t>污泥厌氧消化的发展历程和趋势（污泥处理处置与新质生产力发展）</w:t>
            </w:r>
          </w:p>
        </w:tc>
      </w:tr>
      <w:tr>
        <w:tblPrEx>
          <w:tblBorders>
            <w:top w:val="dotted" w:color="C3BD96" w:themeColor="background2" w:themeShade="BF" w:sz="4" w:space="0"/>
            <w:left w:val="dotted" w:color="C3BD96" w:themeColor="background2" w:themeShade="BF" w:sz="4" w:space="0"/>
            <w:bottom w:val="dotted" w:color="C3BD96" w:themeColor="background2" w:themeShade="BF" w:sz="4" w:space="0"/>
            <w:right w:val="dotted" w:color="C3BD96" w:themeColor="background2" w:themeShade="BF" w:sz="4" w:space="0"/>
            <w:insideH w:val="dotted" w:color="C3BD96" w:themeColor="background2" w:themeShade="BF" w:sz="4" w:space="0"/>
            <w:insideV w:val="dotted" w:color="C3BD96" w:themeColor="background2" w:themeShade="BF" w:sz="4" w:space="0"/>
          </w:tblBorders>
          <w:tblCellMar>
            <w:top w:w="0" w:type="dxa"/>
            <w:left w:w="108" w:type="dxa"/>
            <w:bottom w:w="0" w:type="dxa"/>
            <w:right w:w="108" w:type="dxa"/>
          </w:tblCellMar>
        </w:tblPrEx>
        <w:trPr>
          <w:trHeight w:val="1339" w:hRule="atLeast"/>
        </w:trPr>
        <w:tc>
          <w:tcPr>
            <w:tcW w:w="2552" w:type="dxa"/>
            <w:tcBorders>
              <w:tl2br w:val="nil"/>
              <w:tr2bl w:val="nil"/>
            </w:tcBorders>
            <w:shd w:val="clear" w:color="auto" w:fill="DCE6F2" w:themeFill="accent1" w:themeFillTint="32"/>
          </w:tcPr>
          <w:p>
            <w:pPr>
              <w:spacing w:line="420" w:lineRule="exact"/>
              <w:jc w:val="center"/>
              <w:rPr>
                <w:rFonts w:ascii="仿宋" w:hAnsi="仿宋" w:eastAsia="仿宋" w:cs="等线"/>
                <w:b/>
                <w:bCs/>
                <w:szCs w:val="21"/>
              </w:rPr>
            </w:pPr>
          </w:p>
          <w:p>
            <w:pPr>
              <w:spacing w:line="420" w:lineRule="exact"/>
              <w:jc w:val="left"/>
              <w:rPr>
                <w:rFonts w:ascii="仿宋" w:hAnsi="仿宋" w:eastAsia="仿宋" w:cs="等线"/>
                <w:szCs w:val="21"/>
              </w:rPr>
            </w:pPr>
            <w:r>
              <w:rPr>
                <w:rFonts w:hint="eastAsia" w:ascii="仿宋" w:hAnsi="仿宋" w:eastAsia="仿宋" w:cs="等线"/>
                <w:b/>
                <w:bCs/>
                <w:szCs w:val="21"/>
              </w:rPr>
              <w:t>报告人</w:t>
            </w:r>
          </w:p>
        </w:tc>
        <w:tc>
          <w:tcPr>
            <w:tcW w:w="6804" w:type="dxa"/>
            <w:tcBorders>
              <w:tl2br w:val="nil"/>
              <w:tr2bl w:val="nil"/>
            </w:tcBorders>
          </w:tcPr>
          <w:p>
            <w:pPr>
              <w:spacing w:line="420" w:lineRule="exact"/>
              <w:rPr>
                <w:rFonts w:ascii="仿宋" w:hAnsi="仿宋" w:eastAsia="仿宋" w:cs="等线"/>
                <w:szCs w:val="21"/>
              </w:rPr>
            </w:pPr>
            <w:r>
              <w:rPr>
                <w:rFonts w:hint="eastAsia" w:ascii="仿宋" w:hAnsi="仿宋" w:eastAsia="仿宋" w:cs="等线"/>
                <w:szCs w:val="21"/>
              </w:rPr>
              <w:t>同济大学环境科学与工程学院教授、博导，国家海外高层次人才特聘专家，城市污染控制国家工程研究中心主任、“循环经济关键技术与装备”重点专项总体专家组副组长、</w:t>
            </w:r>
            <w:r>
              <w:rPr>
                <w:rFonts w:ascii="Calibri" w:hAnsi="Calibri" w:eastAsia="仿宋" w:cs="Calibri"/>
                <w:szCs w:val="21"/>
              </w:rPr>
              <w:t> </w:t>
            </w:r>
            <w:r>
              <w:rPr>
                <w:rFonts w:hint="eastAsia" w:ascii="仿宋" w:hAnsi="仿宋" w:eastAsia="仿宋" w:cs="等线"/>
                <w:szCs w:val="21"/>
              </w:rPr>
              <w:t xml:space="preserve">国际水协会（IWA）Fellow </w:t>
            </w:r>
            <w:r>
              <w:rPr>
                <w:rFonts w:hint="eastAsia" w:ascii="仿宋" w:hAnsi="仿宋" w:eastAsia="仿宋" w:cs="等线"/>
                <w:b/>
                <w:bCs/>
                <w:szCs w:val="21"/>
              </w:rPr>
              <w:t>戴晓虎</w:t>
            </w:r>
            <w:r>
              <w:rPr>
                <w:rFonts w:ascii="Calibri" w:hAnsi="Calibri" w:eastAsia="仿宋" w:cs="Calibri"/>
                <w:szCs w:val="21"/>
              </w:rPr>
              <w:t> </w:t>
            </w:r>
          </w:p>
        </w:tc>
      </w:tr>
      <w:tr>
        <w:tblPrEx>
          <w:tblBorders>
            <w:top w:val="dotted" w:color="C3BD96" w:themeColor="background2" w:themeShade="BF" w:sz="4" w:space="0"/>
            <w:left w:val="dotted" w:color="C3BD96" w:themeColor="background2" w:themeShade="BF" w:sz="4" w:space="0"/>
            <w:bottom w:val="dotted" w:color="C3BD96" w:themeColor="background2" w:themeShade="BF" w:sz="4" w:space="0"/>
            <w:right w:val="dotted" w:color="C3BD96" w:themeColor="background2" w:themeShade="BF" w:sz="4" w:space="0"/>
            <w:insideH w:val="dotted" w:color="C3BD96" w:themeColor="background2" w:themeShade="BF" w:sz="4" w:space="0"/>
            <w:insideV w:val="dotted" w:color="C3BD96" w:themeColor="background2" w:themeShade="BF" w:sz="4" w:space="0"/>
          </w:tblBorders>
          <w:tblCellMar>
            <w:top w:w="0" w:type="dxa"/>
            <w:left w:w="108" w:type="dxa"/>
            <w:bottom w:w="0" w:type="dxa"/>
            <w:right w:w="108" w:type="dxa"/>
          </w:tblCellMar>
        </w:tblPrEx>
        <w:tc>
          <w:tcPr>
            <w:tcW w:w="2552" w:type="dxa"/>
            <w:tcBorders>
              <w:tl2br w:val="nil"/>
              <w:tr2bl w:val="nil"/>
            </w:tcBorders>
            <w:shd w:val="clear" w:color="auto" w:fill="DCE6F2" w:themeFill="accent1" w:themeFillTint="32"/>
          </w:tcPr>
          <w:p>
            <w:pPr>
              <w:spacing w:line="420" w:lineRule="exact"/>
              <w:rPr>
                <w:rFonts w:ascii="仿宋" w:hAnsi="仿宋" w:eastAsia="仿宋" w:cs="等线"/>
                <w:szCs w:val="21"/>
              </w:rPr>
            </w:pPr>
            <w:r>
              <w:rPr>
                <w:rFonts w:hint="eastAsia" w:ascii="仿宋" w:hAnsi="仿宋" w:eastAsia="仿宋" w:cs="等线"/>
                <w:b/>
                <w:bCs/>
                <w:szCs w:val="21"/>
              </w:rPr>
              <w:t>报告题目二</w:t>
            </w:r>
            <w:r>
              <w:rPr>
                <w:rFonts w:hint="eastAsia" w:ascii="仿宋" w:hAnsi="仿宋" w:eastAsia="仿宋"/>
              </w:rPr>
              <w:t>13:35-13:55</w:t>
            </w:r>
          </w:p>
        </w:tc>
        <w:tc>
          <w:tcPr>
            <w:tcW w:w="6804" w:type="dxa"/>
            <w:tcBorders>
              <w:tl2br w:val="nil"/>
              <w:tr2bl w:val="nil"/>
            </w:tcBorders>
          </w:tcPr>
          <w:p>
            <w:pPr>
              <w:spacing w:line="420" w:lineRule="exact"/>
              <w:rPr>
                <w:rFonts w:ascii="仿宋" w:hAnsi="仿宋" w:eastAsia="仿宋" w:cs="等线"/>
                <w:szCs w:val="21"/>
              </w:rPr>
            </w:pPr>
            <w:r>
              <w:rPr>
                <w:rFonts w:hint="eastAsia" w:ascii="仿宋" w:hAnsi="仿宋" w:eastAsia="仿宋" w:cs="等线"/>
                <w:szCs w:val="21"/>
              </w:rPr>
              <w:t>污泥焚烧建设运行实践与未来技术思考（水务企业新质生产力发展探讨）</w:t>
            </w:r>
          </w:p>
        </w:tc>
      </w:tr>
      <w:tr>
        <w:tblPrEx>
          <w:tblBorders>
            <w:top w:val="dotted" w:color="C3BD96" w:themeColor="background2" w:themeShade="BF" w:sz="4" w:space="0"/>
            <w:left w:val="dotted" w:color="C3BD96" w:themeColor="background2" w:themeShade="BF" w:sz="4" w:space="0"/>
            <w:bottom w:val="dotted" w:color="C3BD96" w:themeColor="background2" w:themeShade="BF" w:sz="4" w:space="0"/>
            <w:right w:val="dotted" w:color="C3BD96" w:themeColor="background2" w:themeShade="BF" w:sz="4" w:space="0"/>
            <w:insideH w:val="dotted" w:color="C3BD96" w:themeColor="background2" w:themeShade="BF" w:sz="4" w:space="0"/>
            <w:insideV w:val="dotted" w:color="C3BD96" w:themeColor="background2" w:themeShade="BF" w:sz="4" w:space="0"/>
          </w:tblBorders>
          <w:tblCellMar>
            <w:top w:w="0" w:type="dxa"/>
            <w:left w:w="108" w:type="dxa"/>
            <w:bottom w:w="0" w:type="dxa"/>
            <w:right w:w="108" w:type="dxa"/>
          </w:tblCellMar>
        </w:tblPrEx>
        <w:tc>
          <w:tcPr>
            <w:tcW w:w="2552" w:type="dxa"/>
            <w:tcBorders>
              <w:tl2br w:val="nil"/>
              <w:tr2bl w:val="nil"/>
            </w:tcBorders>
            <w:shd w:val="clear" w:color="auto" w:fill="DCE6F2" w:themeFill="accent1" w:themeFillTint="32"/>
          </w:tcPr>
          <w:p>
            <w:pPr>
              <w:spacing w:line="420" w:lineRule="exact"/>
              <w:rPr>
                <w:rFonts w:ascii="仿宋" w:hAnsi="仿宋" w:eastAsia="仿宋" w:cs="等线"/>
                <w:szCs w:val="21"/>
              </w:rPr>
            </w:pPr>
            <w:r>
              <w:rPr>
                <w:rFonts w:hint="eastAsia" w:ascii="仿宋" w:hAnsi="仿宋" w:eastAsia="仿宋" w:cs="等线"/>
                <w:b/>
                <w:bCs/>
                <w:szCs w:val="21"/>
              </w:rPr>
              <w:t>报告人</w:t>
            </w:r>
          </w:p>
        </w:tc>
        <w:tc>
          <w:tcPr>
            <w:tcW w:w="6804" w:type="dxa"/>
            <w:tcBorders>
              <w:tl2br w:val="nil"/>
              <w:tr2bl w:val="nil"/>
            </w:tcBorders>
          </w:tcPr>
          <w:p>
            <w:pPr>
              <w:spacing w:line="420" w:lineRule="exact"/>
              <w:rPr>
                <w:rFonts w:ascii="仿宋" w:hAnsi="仿宋" w:eastAsia="仿宋" w:cs="等线"/>
                <w:szCs w:val="21"/>
              </w:rPr>
            </w:pPr>
            <w:r>
              <w:rPr>
                <w:rFonts w:hint="eastAsia" w:ascii="仿宋" w:hAnsi="仿宋" w:eastAsia="仿宋" w:cs="等线"/>
                <w:szCs w:val="21"/>
              </w:rPr>
              <w:t>上海城投污水处理有限公司</w:t>
            </w:r>
          </w:p>
          <w:p>
            <w:pPr>
              <w:spacing w:line="420" w:lineRule="exact"/>
              <w:rPr>
                <w:rFonts w:ascii="仿宋" w:hAnsi="仿宋" w:eastAsia="仿宋" w:cs="等线"/>
                <w:szCs w:val="21"/>
              </w:rPr>
            </w:pPr>
            <w:r>
              <w:rPr>
                <w:rFonts w:hint="eastAsia" w:ascii="仿宋" w:hAnsi="仿宋" w:eastAsia="仿宋" w:cs="等线"/>
                <w:b/>
                <w:bCs/>
                <w:szCs w:val="21"/>
              </w:rPr>
              <w:t xml:space="preserve">王丽花 副总经理 </w:t>
            </w:r>
            <w:r>
              <w:rPr>
                <w:rFonts w:ascii="Calibri" w:hAnsi="Calibri" w:eastAsia="仿宋" w:cs="Calibri"/>
                <w:b/>
                <w:bCs/>
                <w:szCs w:val="21"/>
              </w:rPr>
              <w:t> </w:t>
            </w:r>
          </w:p>
        </w:tc>
      </w:tr>
      <w:tr>
        <w:tblPrEx>
          <w:tblBorders>
            <w:top w:val="dotted" w:color="C3BD96" w:themeColor="background2" w:themeShade="BF" w:sz="4" w:space="0"/>
            <w:left w:val="dotted" w:color="C3BD96" w:themeColor="background2" w:themeShade="BF" w:sz="4" w:space="0"/>
            <w:bottom w:val="dotted" w:color="C3BD96" w:themeColor="background2" w:themeShade="BF" w:sz="4" w:space="0"/>
            <w:right w:val="dotted" w:color="C3BD96" w:themeColor="background2" w:themeShade="BF" w:sz="4" w:space="0"/>
            <w:insideH w:val="dotted" w:color="C3BD96" w:themeColor="background2" w:themeShade="BF" w:sz="4" w:space="0"/>
            <w:insideV w:val="dotted" w:color="C3BD96" w:themeColor="background2" w:themeShade="BF" w:sz="4" w:space="0"/>
          </w:tblBorders>
          <w:tblCellMar>
            <w:top w:w="0" w:type="dxa"/>
            <w:left w:w="108" w:type="dxa"/>
            <w:bottom w:w="0" w:type="dxa"/>
            <w:right w:w="108" w:type="dxa"/>
          </w:tblCellMar>
        </w:tblPrEx>
        <w:tc>
          <w:tcPr>
            <w:tcW w:w="2552" w:type="dxa"/>
            <w:tcBorders>
              <w:tl2br w:val="nil"/>
              <w:tr2bl w:val="nil"/>
            </w:tcBorders>
            <w:shd w:val="clear" w:color="auto" w:fill="DCE6F2" w:themeFill="accent1" w:themeFillTint="32"/>
          </w:tcPr>
          <w:p>
            <w:pPr>
              <w:spacing w:line="420" w:lineRule="exact"/>
              <w:rPr>
                <w:rFonts w:ascii="仿宋" w:hAnsi="仿宋" w:eastAsia="仿宋" w:cs="等线"/>
                <w:szCs w:val="21"/>
              </w:rPr>
            </w:pPr>
            <w:r>
              <w:rPr>
                <w:rFonts w:hint="eastAsia" w:ascii="仿宋" w:hAnsi="仿宋" w:eastAsia="仿宋" w:cs="等线"/>
                <w:b/>
                <w:bCs/>
                <w:szCs w:val="21"/>
              </w:rPr>
              <w:t>报告题目三</w:t>
            </w:r>
            <w:r>
              <w:rPr>
                <w:rFonts w:hint="eastAsia" w:ascii="仿宋" w:hAnsi="仿宋" w:eastAsia="仿宋"/>
              </w:rPr>
              <w:t>14:00-14:20</w:t>
            </w:r>
          </w:p>
        </w:tc>
        <w:tc>
          <w:tcPr>
            <w:tcW w:w="6804" w:type="dxa"/>
            <w:tcBorders>
              <w:tl2br w:val="nil"/>
              <w:tr2bl w:val="nil"/>
            </w:tcBorders>
          </w:tcPr>
          <w:p>
            <w:pPr>
              <w:spacing w:line="420" w:lineRule="exact"/>
              <w:rPr>
                <w:rFonts w:ascii="仿宋" w:hAnsi="仿宋" w:eastAsia="仿宋" w:cs="等线"/>
                <w:szCs w:val="21"/>
              </w:rPr>
            </w:pPr>
            <w:r>
              <w:rPr>
                <w:rFonts w:hint="eastAsia" w:ascii="仿宋" w:hAnsi="仿宋" w:eastAsia="仿宋" w:cs="等线"/>
                <w:szCs w:val="21"/>
              </w:rPr>
              <w:t>上海城镇污水污泥处理处置工程实践与科创（设计院科技创新）</w:t>
            </w:r>
            <w:r>
              <w:rPr>
                <w:rFonts w:ascii="Calibri" w:hAnsi="Calibri" w:eastAsia="仿宋" w:cs="Calibri"/>
                <w:szCs w:val="21"/>
              </w:rPr>
              <w:t>  </w:t>
            </w:r>
          </w:p>
        </w:tc>
      </w:tr>
      <w:tr>
        <w:tblPrEx>
          <w:tblBorders>
            <w:top w:val="dotted" w:color="C3BD96" w:themeColor="background2" w:themeShade="BF" w:sz="4" w:space="0"/>
            <w:left w:val="dotted" w:color="C3BD96" w:themeColor="background2" w:themeShade="BF" w:sz="4" w:space="0"/>
            <w:bottom w:val="dotted" w:color="C3BD96" w:themeColor="background2" w:themeShade="BF" w:sz="4" w:space="0"/>
            <w:right w:val="dotted" w:color="C3BD96" w:themeColor="background2" w:themeShade="BF" w:sz="4" w:space="0"/>
            <w:insideH w:val="dotted" w:color="C3BD96" w:themeColor="background2" w:themeShade="BF" w:sz="4" w:space="0"/>
            <w:insideV w:val="dotted" w:color="C3BD96" w:themeColor="background2" w:themeShade="BF" w:sz="4" w:space="0"/>
          </w:tblBorders>
          <w:tblCellMar>
            <w:top w:w="0" w:type="dxa"/>
            <w:left w:w="108" w:type="dxa"/>
            <w:bottom w:w="0" w:type="dxa"/>
            <w:right w:w="108" w:type="dxa"/>
          </w:tblCellMar>
        </w:tblPrEx>
        <w:tc>
          <w:tcPr>
            <w:tcW w:w="2552" w:type="dxa"/>
            <w:tcBorders>
              <w:tl2br w:val="nil"/>
              <w:tr2bl w:val="nil"/>
            </w:tcBorders>
            <w:shd w:val="clear" w:color="auto" w:fill="DCE6F2" w:themeFill="accent1" w:themeFillTint="32"/>
          </w:tcPr>
          <w:p>
            <w:pPr>
              <w:spacing w:line="420" w:lineRule="exact"/>
              <w:rPr>
                <w:rFonts w:ascii="仿宋" w:hAnsi="仿宋" w:eastAsia="仿宋" w:cs="等线"/>
                <w:szCs w:val="21"/>
              </w:rPr>
            </w:pPr>
            <w:r>
              <w:rPr>
                <w:rFonts w:hint="eastAsia" w:ascii="仿宋" w:hAnsi="仿宋" w:eastAsia="仿宋" w:cs="等线"/>
                <w:b/>
                <w:bCs/>
                <w:szCs w:val="21"/>
              </w:rPr>
              <w:t>报告人</w:t>
            </w:r>
          </w:p>
        </w:tc>
        <w:tc>
          <w:tcPr>
            <w:tcW w:w="6804" w:type="dxa"/>
            <w:tcBorders>
              <w:tl2br w:val="nil"/>
              <w:tr2bl w:val="nil"/>
            </w:tcBorders>
          </w:tcPr>
          <w:p>
            <w:pPr>
              <w:spacing w:line="420" w:lineRule="exact"/>
              <w:rPr>
                <w:rFonts w:ascii="仿宋" w:hAnsi="仿宋" w:eastAsia="仿宋" w:cs="等线"/>
                <w:szCs w:val="21"/>
              </w:rPr>
            </w:pPr>
            <w:r>
              <w:rPr>
                <w:rFonts w:hint="eastAsia" w:ascii="仿宋" w:hAnsi="仿宋" w:eastAsia="仿宋" w:cs="等线"/>
                <w:szCs w:val="21"/>
              </w:rPr>
              <w:t>上海市政工程设计研究总院(集团)有限公司</w:t>
            </w:r>
          </w:p>
          <w:p>
            <w:pPr>
              <w:spacing w:line="420" w:lineRule="exact"/>
              <w:rPr>
                <w:rFonts w:ascii="仿宋" w:hAnsi="仿宋" w:eastAsia="仿宋" w:cs="等线"/>
                <w:szCs w:val="21"/>
              </w:rPr>
            </w:pPr>
            <w:r>
              <w:rPr>
                <w:rFonts w:hint="eastAsia" w:ascii="仿宋" w:hAnsi="仿宋" w:eastAsia="仿宋" w:cs="等线"/>
                <w:b/>
                <w:bCs/>
                <w:szCs w:val="21"/>
              </w:rPr>
              <w:t>胡维杰 三院总工</w:t>
            </w:r>
            <w:r>
              <w:rPr>
                <w:rFonts w:ascii="Calibri" w:hAnsi="Calibri" w:eastAsia="仿宋" w:cs="Calibri"/>
                <w:b/>
                <w:bCs/>
                <w:szCs w:val="21"/>
              </w:rPr>
              <w:t>    </w:t>
            </w:r>
          </w:p>
        </w:tc>
      </w:tr>
      <w:tr>
        <w:tblPrEx>
          <w:tblBorders>
            <w:top w:val="dotted" w:color="C3BD96" w:themeColor="background2" w:themeShade="BF" w:sz="4" w:space="0"/>
            <w:left w:val="dotted" w:color="C3BD96" w:themeColor="background2" w:themeShade="BF" w:sz="4" w:space="0"/>
            <w:bottom w:val="dotted" w:color="C3BD96" w:themeColor="background2" w:themeShade="BF" w:sz="4" w:space="0"/>
            <w:right w:val="dotted" w:color="C3BD96" w:themeColor="background2" w:themeShade="BF" w:sz="4" w:space="0"/>
            <w:insideH w:val="dotted" w:color="C3BD96" w:themeColor="background2" w:themeShade="BF" w:sz="4" w:space="0"/>
            <w:insideV w:val="dotted" w:color="C3BD96" w:themeColor="background2" w:themeShade="BF" w:sz="4" w:space="0"/>
          </w:tblBorders>
          <w:tblCellMar>
            <w:top w:w="0" w:type="dxa"/>
            <w:left w:w="108" w:type="dxa"/>
            <w:bottom w:w="0" w:type="dxa"/>
            <w:right w:w="108" w:type="dxa"/>
          </w:tblCellMar>
        </w:tblPrEx>
        <w:tc>
          <w:tcPr>
            <w:tcW w:w="2552" w:type="dxa"/>
            <w:tcBorders>
              <w:tl2br w:val="nil"/>
              <w:tr2bl w:val="nil"/>
            </w:tcBorders>
            <w:shd w:val="clear" w:color="auto" w:fill="DCE6F2" w:themeFill="accent1" w:themeFillTint="32"/>
          </w:tcPr>
          <w:p>
            <w:pPr>
              <w:spacing w:line="420" w:lineRule="exact"/>
              <w:rPr>
                <w:rFonts w:ascii="仿宋" w:hAnsi="仿宋" w:eastAsia="仿宋" w:cs="等线"/>
                <w:szCs w:val="21"/>
              </w:rPr>
            </w:pPr>
            <w:r>
              <w:rPr>
                <w:rFonts w:hint="eastAsia" w:ascii="仿宋" w:hAnsi="仿宋" w:eastAsia="仿宋" w:cs="等线"/>
                <w:b/>
                <w:bCs/>
                <w:szCs w:val="21"/>
              </w:rPr>
              <w:t>报告题目四</w:t>
            </w:r>
            <w:r>
              <w:rPr>
                <w:rFonts w:hint="eastAsia" w:ascii="仿宋" w:hAnsi="仿宋" w:eastAsia="仿宋"/>
              </w:rPr>
              <w:t>14:25-14:45</w:t>
            </w:r>
          </w:p>
        </w:tc>
        <w:tc>
          <w:tcPr>
            <w:tcW w:w="6804" w:type="dxa"/>
            <w:tcBorders>
              <w:tl2br w:val="nil"/>
              <w:tr2bl w:val="nil"/>
            </w:tcBorders>
          </w:tcPr>
          <w:p>
            <w:pPr>
              <w:spacing w:line="420" w:lineRule="exact"/>
              <w:rPr>
                <w:rFonts w:ascii="仿宋" w:hAnsi="仿宋" w:eastAsia="仿宋" w:cs="等线"/>
                <w:szCs w:val="21"/>
              </w:rPr>
            </w:pPr>
            <w:r>
              <w:rPr>
                <w:rFonts w:hint="eastAsia" w:ascii="仿宋" w:hAnsi="仿宋" w:eastAsia="仿宋" w:cs="等线"/>
                <w:color w:val="FF0000"/>
                <w:szCs w:val="21"/>
              </w:rPr>
              <w:t>热泵低温干化污泥处理工艺技术和产品介绍</w:t>
            </w:r>
          </w:p>
        </w:tc>
      </w:tr>
      <w:tr>
        <w:tblPrEx>
          <w:tblBorders>
            <w:top w:val="dotted" w:color="C3BD96" w:themeColor="background2" w:themeShade="BF" w:sz="4" w:space="0"/>
            <w:left w:val="dotted" w:color="C3BD96" w:themeColor="background2" w:themeShade="BF" w:sz="4" w:space="0"/>
            <w:bottom w:val="dotted" w:color="C3BD96" w:themeColor="background2" w:themeShade="BF" w:sz="4" w:space="0"/>
            <w:right w:val="dotted" w:color="C3BD96" w:themeColor="background2" w:themeShade="BF" w:sz="4" w:space="0"/>
            <w:insideH w:val="dotted" w:color="C3BD96" w:themeColor="background2" w:themeShade="BF" w:sz="4" w:space="0"/>
            <w:insideV w:val="dotted" w:color="C3BD96" w:themeColor="background2" w:themeShade="BF" w:sz="4" w:space="0"/>
          </w:tblBorders>
          <w:tblCellMar>
            <w:top w:w="0" w:type="dxa"/>
            <w:left w:w="108" w:type="dxa"/>
            <w:bottom w:w="0" w:type="dxa"/>
            <w:right w:w="108" w:type="dxa"/>
          </w:tblCellMar>
        </w:tblPrEx>
        <w:tc>
          <w:tcPr>
            <w:tcW w:w="2552" w:type="dxa"/>
            <w:tcBorders>
              <w:tl2br w:val="nil"/>
              <w:tr2bl w:val="nil"/>
            </w:tcBorders>
            <w:shd w:val="clear" w:color="auto" w:fill="DCE6F2" w:themeFill="accent1" w:themeFillTint="32"/>
          </w:tcPr>
          <w:p>
            <w:pPr>
              <w:spacing w:line="420" w:lineRule="exact"/>
              <w:rPr>
                <w:rFonts w:ascii="仿宋" w:hAnsi="仿宋" w:eastAsia="仿宋" w:cs="等线"/>
                <w:szCs w:val="21"/>
              </w:rPr>
            </w:pPr>
            <w:r>
              <w:rPr>
                <w:rFonts w:hint="eastAsia" w:ascii="仿宋" w:hAnsi="仿宋" w:eastAsia="仿宋" w:cs="等线"/>
                <w:b/>
                <w:bCs/>
                <w:szCs w:val="21"/>
              </w:rPr>
              <w:t>报告人</w:t>
            </w:r>
          </w:p>
        </w:tc>
        <w:tc>
          <w:tcPr>
            <w:tcW w:w="6804" w:type="dxa"/>
            <w:tcBorders>
              <w:tl2br w:val="nil"/>
              <w:tr2bl w:val="nil"/>
            </w:tcBorders>
          </w:tcPr>
          <w:p>
            <w:pPr>
              <w:spacing w:line="420" w:lineRule="exact"/>
              <w:rPr>
                <w:rFonts w:ascii="仿宋" w:hAnsi="仿宋" w:eastAsia="仿宋" w:cs="等线"/>
                <w:szCs w:val="21"/>
              </w:rPr>
            </w:pPr>
            <w:r>
              <w:rPr>
                <w:rFonts w:hint="eastAsia" w:ascii="仿宋" w:hAnsi="仿宋" w:eastAsia="仿宋" w:cs="等线"/>
                <w:szCs w:val="21"/>
              </w:rPr>
              <w:t>江苏博一环保科技有限公司</w:t>
            </w:r>
          </w:p>
          <w:p>
            <w:pPr>
              <w:spacing w:line="420" w:lineRule="exact"/>
              <w:rPr>
                <w:rFonts w:ascii="仿宋" w:hAnsi="仿宋" w:eastAsia="仿宋" w:cs="等线"/>
                <w:szCs w:val="21"/>
              </w:rPr>
            </w:pPr>
            <w:r>
              <w:rPr>
                <w:rFonts w:hint="eastAsia" w:ascii="仿宋" w:hAnsi="仿宋" w:eastAsia="仿宋" w:cs="等线"/>
                <w:b/>
                <w:bCs/>
                <w:szCs w:val="21"/>
              </w:rPr>
              <w:t xml:space="preserve">黄志洋 总经理  </w:t>
            </w:r>
            <w:r>
              <w:rPr>
                <w:rFonts w:hint="eastAsia" w:ascii="仿宋" w:hAnsi="仿宋" w:eastAsia="仿宋" w:cs="等线"/>
                <w:szCs w:val="21"/>
              </w:rPr>
              <w:t xml:space="preserve"> </w:t>
            </w:r>
          </w:p>
        </w:tc>
      </w:tr>
      <w:tr>
        <w:tblPrEx>
          <w:tblBorders>
            <w:top w:val="dotted" w:color="C3BD96" w:themeColor="background2" w:themeShade="BF" w:sz="4" w:space="0"/>
            <w:left w:val="dotted" w:color="C3BD96" w:themeColor="background2" w:themeShade="BF" w:sz="4" w:space="0"/>
            <w:bottom w:val="dotted" w:color="C3BD96" w:themeColor="background2" w:themeShade="BF" w:sz="4" w:space="0"/>
            <w:right w:val="dotted" w:color="C3BD96" w:themeColor="background2" w:themeShade="BF" w:sz="4" w:space="0"/>
            <w:insideH w:val="dotted" w:color="C3BD96" w:themeColor="background2" w:themeShade="BF" w:sz="4" w:space="0"/>
            <w:insideV w:val="dotted" w:color="C3BD96" w:themeColor="background2" w:themeShade="BF" w:sz="4" w:space="0"/>
          </w:tblBorders>
          <w:tblCellMar>
            <w:top w:w="0" w:type="dxa"/>
            <w:left w:w="108" w:type="dxa"/>
            <w:bottom w:w="0" w:type="dxa"/>
            <w:right w:w="108" w:type="dxa"/>
          </w:tblCellMar>
        </w:tblPrEx>
        <w:tc>
          <w:tcPr>
            <w:tcW w:w="2552" w:type="dxa"/>
            <w:tcBorders>
              <w:tl2br w:val="nil"/>
              <w:tr2bl w:val="nil"/>
            </w:tcBorders>
            <w:shd w:val="clear" w:color="auto" w:fill="DCE6F2" w:themeFill="accent1" w:themeFillTint="32"/>
          </w:tcPr>
          <w:p>
            <w:pPr>
              <w:spacing w:line="420" w:lineRule="exact"/>
              <w:rPr>
                <w:rFonts w:ascii="仿宋" w:hAnsi="仿宋" w:eastAsia="仿宋" w:cs="等线"/>
                <w:szCs w:val="21"/>
              </w:rPr>
            </w:pPr>
            <w:r>
              <w:rPr>
                <w:rFonts w:hint="eastAsia" w:ascii="仿宋" w:hAnsi="仿宋" w:eastAsia="仿宋" w:cs="等线"/>
                <w:b/>
                <w:bCs/>
                <w:szCs w:val="21"/>
              </w:rPr>
              <w:t>报告题目五</w:t>
            </w:r>
            <w:r>
              <w:rPr>
                <w:rFonts w:hint="eastAsia" w:ascii="仿宋" w:hAnsi="仿宋" w:eastAsia="仿宋"/>
              </w:rPr>
              <w:t>14:50-15:10</w:t>
            </w:r>
          </w:p>
        </w:tc>
        <w:tc>
          <w:tcPr>
            <w:tcW w:w="6804" w:type="dxa"/>
            <w:tcBorders>
              <w:tl2br w:val="nil"/>
              <w:tr2bl w:val="nil"/>
            </w:tcBorders>
          </w:tcPr>
          <w:p>
            <w:pPr>
              <w:spacing w:line="420" w:lineRule="exact"/>
              <w:rPr>
                <w:rFonts w:ascii="仿宋" w:hAnsi="仿宋" w:eastAsia="仿宋" w:cs="等线"/>
                <w:szCs w:val="21"/>
              </w:rPr>
            </w:pPr>
            <w:r>
              <w:rPr>
                <w:rFonts w:hint="eastAsia" w:ascii="仿宋" w:hAnsi="仿宋" w:eastAsia="仿宋" w:cs="等线"/>
                <w:color w:val="FF0000"/>
                <w:szCs w:val="21"/>
              </w:rPr>
              <w:t>污泥处理处置工艺选择及工程案例分享</w:t>
            </w:r>
          </w:p>
        </w:tc>
      </w:tr>
      <w:tr>
        <w:tblPrEx>
          <w:tblBorders>
            <w:top w:val="dotted" w:color="C3BD96" w:themeColor="background2" w:themeShade="BF" w:sz="4" w:space="0"/>
            <w:left w:val="dotted" w:color="C3BD96" w:themeColor="background2" w:themeShade="BF" w:sz="4" w:space="0"/>
            <w:bottom w:val="dotted" w:color="C3BD96" w:themeColor="background2" w:themeShade="BF" w:sz="4" w:space="0"/>
            <w:right w:val="dotted" w:color="C3BD96" w:themeColor="background2" w:themeShade="BF" w:sz="4" w:space="0"/>
            <w:insideH w:val="dotted" w:color="C3BD96" w:themeColor="background2" w:themeShade="BF" w:sz="4" w:space="0"/>
            <w:insideV w:val="dotted" w:color="C3BD96" w:themeColor="background2" w:themeShade="BF" w:sz="4" w:space="0"/>
          </w:tblBorders>
          <w:tblCellMar>
            <w:top w:w="0" w:type="dxa"/>
            <w:left w:w="108" w:type="dxa"/>
            <w:bottom w:w="0" w:type="dxa"/>
            <w:right w:w="108" w:type="dxa"/>
          </w:tblCellMar>
        </w:tblPrEx>
        <w:tc>
          <w:tcPr>
            <w:tcW w:w="2552" w:type="dxa"/>
            <w:tcBorders>
              <w:tl2br w:val="nil"/>
              <w:tr2bl w:val="nil"/>
            </w:tcBorders>
            <w:shd w:val="clear" w:color="auto" w:fill="DCE6F2" w:themeFill="accent1" w:themeFillTint="32"/>
          </w:tcPr>
          <w:p>
            <w:pPr>
              <w:spacing w:line="420" w:lineRule="exact"/>
              <w:rPr>
                <w:rFonts w:ascii="仿宋" w:hAnsi="仿宋" w:eastAsia="仿宋" w:cs="等线"/>
                <w:szCs w:val="21"/>
              </w:rPr>
            </w:pPr>
            <w:r>
              <w:rPr>
                <w:rFonts w:hint="eastAsia" w:ascii="仿宋" w:hAnsi="仿宋" w:eastAsia="仿宋" w:cs="等线"/>
                <w:b/>
                <w:bCs/>
                <w:szCs w:val="21"/>
              </w:rPr>
              <w:t>报告人</w:t>
            </w:r>
          </w:p>
        </w:tc>
        <w:tc>
          <w:tcPr>
            <w:tcW w:w="6804" w:type="dxa"/>
            <w:tcBorders>
              <w:tl2br w:val="nil"/>
              <w:tr2bl w:val="nil"/>
            </w:tcBorders>
          </w:tcPr>
          <w:p>
            <w:pPr>
              <w:spacing w:line="420" w:lineRule="exact"/>
              <w:rPr>
                <w:rFonts w:ascii="仿宋" w:hAnsi="仿宋" w:eastAsia="仿宋" w:cs="等线"/>
                <w:szCs w:val="21"/>
              </w:rPr>
            </w:pPr>
            <w:r>
              <w:rPr>
                <w:rFonts w:hint="eastAsia" w:ascii="仿宋" w:hAnsi="仿宋" w:eastAsia="仿宋" w:cs="等线"/>
                <w:szCs w:val="21"/>
              </w:rPr>
              <w:t>国市政工程华北设计研究总院有限公司</w:t>
            </w:r>
          </w:p>
          <w:p>
            <w:pPr>
              <w:spacing w:line="420" w:lineRule="exact"/>
              <w:rPr>
                <w:rFonts w:ascii="仿宋" w:hAnsi="仿宋" w:eastAsia="仿宋" w:cs="等线"/>
                <w:szCs w:val="21"/>
              </w:rPr>
            </w:pPr>
            <w:r>
              <w:rPr>
                <w:rFonts w:hint="eastAsia" w:ascii="仿宋" w:hAnsi="仿宋" w:eastAsia="仿宋" w:cs="等线"/>
                <w:b/>
                <w:bCs/>
                <w:szCs w:val="21"/>
              </w:rPr>
              <w:t>李成江 顾问总工</w:t>
            </w:r>
            <w:r>
              <w:rPr>
                <w:rFonts w:hint="eastAsia" w:ascii="仿宋" w:hAnsi="仿宋" w:eastAsia="仿宋" w:cs="等线"/>
                <w:szCs w:val="21"/>
              </w:rPr>
              <w:t xml:space="preserve"> </w:t>
            </w:r>
            <w:r>
              <w:rPr>
                <w:rFonts w:ascii="Calibri" w:hAnsi="Calibri" w:eastAsia="仿宋" w:cs="Calibri"/>
                <w:szCs w:val="21"/>
              </w:rPr>
              <w:t>  </w:t>
            </w:r>
          </w:p>
        </w:tc>
      </w:tr>
      <w:tr>
        <w:tblPrEx>
          <w:tblBorders>
            <w:top w:val="dotted" w:color="C3BD96" w:themeColor="background2" w:themeShade="BF" w:sz="4" w:space="0"/>
            <w:left w:val="dotted" w:color="C3BD96" w:themeColor="background2" w:themeShade="BF" w:sz="4" w:space="0"/>
            <w:bottom w:val="dotted" w:color="C3BD96" w:themeColor="background2" w:themeShade="BF" w:sz="4" w:space="0"/>
            <w:right w:val="dotted" w:color="C3BD96" w:themeColor="background2" w:themeShade="BF" w:sz="4" w:space="0"/>
            <w:insideH w:val="dotted" w:color="C3BD96" w:themeColor="background2" w:themeShade="BF" w:sz="4" w:space="0"/>
            <w:insideV w:val="dotted" w:color="C3BD96" w:themeColor="background2" w:themeShade="BF" w:sz="4" w:space="0"/>
          </w:tblBorders>
          <w:tblCellMar>
            <w:top w:w="0" w:type="dxa"/>
            <w:left w:w="108" w:type="dxa"/>
            <w:bottom w:w="0" w:type="dxa"/>
            <w:right w:w="108" w:type="dxa"/>
          </w:tblCellMar>
        </w:tblPrEx>
        <w:tc>
          <w:tcPr>
            <w:tcW w:w="2552" w:type="dxa"/>
            <w:tcBorders>
              <w:tl2br w:val="nil"/>
              <w:tr2bl w:val="nil"/>
            </w:tcBorders>
            <w:shd w:val="clear" w:color="auto" w:fill="DCE6F2" w:themeFill="accent1" w:themeFillTint="32"/>
          </w:tcPr>
          <w:p>
            <w:pPr>
              <w:spacing w:line="420" w:lineRule="exact"/>
              <w:rPr>
                <w:rFonts w:ascii="仿宋" w:hAnsi="仿宋" w:eastAsia="仿宋" w:cs="等线"/>
                <w:szCs w:val="21"/>
              </w:rPr>
            </w:pPr>
            <w:r>
              <w:rPr>
                <w:rFonts w:hint="eastAsia" w:ascii="仿宋" w:hAnsi="仿宋" w:eastAsia="仿宋" w:cs="等线"/>
                <w:b/>
                <w:bCs/>
                <w:szCs w:val="21"/>
              </w:rPr>
              <w:t>报告题目六1</w:t>
            </w:r>
            <w:r>
              <w:rPr>
                <w:rFonts w:hint="eastAsia" w:ascii="仿宋" w:hAnsi="仿宋" w:eastAsia="仿宋"/>
              </w:rPr>
              <w:t>5:15-15:35</w:t>
            </w:r>
          </w:p>
        </w:tc>
        <w:tc>
          <w:tcPr>
            <w:tcW w:w="6804" w:type="dxa"/>
            <w:tcBorders>
              <w:tl2br w:val="nil"/>
              <w:tr2bl w:val="nil"/>
            </w:tcBorders>
          </w:tcPr>
          <w:p>
            <w:pPr>
              <w:spacing w:line="420" w:lineRule="exact"/>
              <w:rPr>
                <w:rFonts w:ascii="仿宋" w:hAnsi="仿宋" w:eastAsia="仿宋" w:cs="等线"/>
                <w:szCs w:val="21"/>
              </w:rPr>
            </w:pPr>
            <w:r>
              <w:rPr>
                <w:rFonts w:hint="eastAsia" w:ascii="仿宋" w:hAnsi="仿宋" w:eastAsia="仿宋" w:cs="等线"/>
                <w:szCs w:val="21"/>
              </w:rPr>
              <w:t>污泥处理处置路线选择及应用趋势分析（新）</w:t>
            </w:r>
          </w:p>
        </w:tc>
      </w:tr>
      <w:tr>
        <w:tblPrEx>
          <w:tblBorders>
            <w:top w:val="dotted" w:color="C3BD96" w:themeColor="background2" w:themeShade="BF" w:sz="4" w:space="0"/>
            <w:left w:val="dotted" w:color="C3BD96" w:themeColor="background2" w:themeShade="BF" w:sz="4" w:space="0"/>
            <w:bottom w:val="dotted" w:color="C3BD96" w:themeColor="background2" w:themeShade="BF" w:sz="4" w:space="0"/>
            <w:right w:val="dotted" w:color="C3BD96" w:themeColor="background2" w:themeShade="BF" w:sz="4" w:space="0"/>
            <w:insideH w:val="dotted" w:color="C3BD96" w:themeColor="background2" w:themeShade="BF" w:sz="4" w:space="0"/>
            <w:insideV w:val="dotted" w:color="C3BD96" w:themeColor="background2" w:themeShade="BF" w:sz="4" w:space="0"/>
          </w:tblBorders>
          <w:tblCellMar>
            <w:top w:w="0" w:type="dxa"/>
            <w:left w:w="108" w:type="dxa"/>
            <w:bottom w:w="0" w:type="dxa"/>
            <w:right w:w="108" w:type="dxa"/>
          </w:tblCellMar>
        </w:tblPrEx>
        <w:tc>
          <w:tcPr>
            <w:tcW w:w="2552" w:type="dxa"/>
            <w:tcBorders>
              <w:tl2br w:val="nil"/>
              <w:tr2bl w:val="nil"/>
            </w:tcBorders>
            <w:shd w:val="clear" w:color="auto" w:fill="DCE6F2" w:themeFill="accent1" w:themeFillTint="32"/>
          </w:tcPr>
          <w:p>
            <w:pPr>
              <w:spacing w:line="420" w:lineRule="exact"/>
              <w:rPr>
                <w:rFonts w:ascii="仿宋" w:hAnsi="仿宋" w:eastAsia="仿宋" w:cs="等线"/>
                <w:szCs w:val="21"/>
              </w:rPr>
            </w:pPr>
            <w:r>
              <w:rPr>
                <w:rFonts w:hint="eastAsia" w:ascii="仿宋" w:hAnsi="仿宋" w:eastAsia="仿宋" w:cs="等线"/>
                <w:b/>
                <w:bCs/>
                <w:szCs w:val="21"/>
              </w:rPr>
              <w:t>报告人</w:t>
            </w:r>
          </w:p>
        </w:tc>
        <w:tc>
          <w:tcPr>
            <w:tcW w:w="6804" w:type="dxa"/>
            <w:tcBorders>
              <w:tl2br w:val="nil"/>
              <w:tr2bl w:val="nil"/>
            </w:tcBorders>
          </w:tcPr>
          <w:p>
            <w:pPr>
              <w:spacing w:line="420" w:lineRule="exact"/>
              <w:rPr>
                <w:rFonts w:ascii="仿宋" w:hAnsi="仿宋" w:eastAsia="仿宋" w:cs="等线"/>
                <w:szCs w:val="21"/>
              </w:rPr>
            </w:pPr>
            <w:r>
              <w:rPr>
                <w:rFonts w:ascii="仿宋" w:hAnsi="仿宋" w:eastAsia="仿宋" w:cs="等线"/>
                <w:szCs w:val="21"/>
              </w:rPr>
              <w:t>无锡买山环保装备有限公司</w:t>
            </w:r>
          </w:p>
          <w:p>
            <w:pPr>
              <w:pStyle w:val="2"/>
              <w:spacing w:line="420" w:lineRule="exact"/>
              <w:rPr>
                <w:rFonts w:ascii="仿宋" w:hAnsi="仿宋" w:eastAsia="仿宋"/>
              </w:rPr>
            </w:pPr>
            <w:r>
              <w:rPr>
                <w:rFonts w:hint="eastAsia" w:ascii="仿宋" w:hAnsi="仿宋" w:eastAsia="仿宋" w:cs="等线"/>
                <w:b/>
                <w:bCs/>
                <w:kern w:val="2"/>
              </w:rPr>
              <w:t>西安交大杨鸿辉教授</w:t>
            </w:r>
          </w:p>
        </w:tc>
      </w:tr>
      <w:tr>
        <w:tblPrEx>
          <w:tblBorders>
            <w:top w:val="dotted" w:color="C3BD96" w:themeColor="background2" w:themeShade="BF" w:sz="4" w:space="0"/>
            <w:left w:val="dotted" w:color="C3BD96" w:themeColor="background2" w:themeShade="BF" w:sz="4" w:space="0"/>
            <w:bottom w:val="dotted" w:color="C3BD96" w:themeColor="background2" w:themeShade="BF" w:sz="4" w:space="0"/>
            <w:right w:val="dotted" w:color="C3BD96" w:themeColor="background2" w:themeShade="BF" w:sz="4" w:space="0"/>
            <w:insideH w:val="dotted" w:color="C3BD96" w:themeColor="background2" w:themeShade="BF" w:sz="4" w:space="0"/>
            <w:insideV w:val="dotted" w:color="C3BD96" w:themeColor="background2" w:themeShade="BF" w:sz="4" w:space="0"/>
          </w:tblBorders>
          <w:tblCellMar>
            <w:top w:w="0" w:type="dxa"/>
            <w:left w:w="108" w:type="dxa"/>
            <w:bottom w:w="0" w:type="dxa"/>
            <w:right w:w="108" w:type="dxa"/>
          </w:tblCellMar>
        </w:tblPrEx>
        <w:tc>
          <w:tcPr>
            <w:tcW w:w="2552" w:type="dxa"/>
            <w:tcBorders>
              <w:tl2br w:val="nil"/>
              <w:tr2bl w:val="nil"/>
            </w:tcBorders>
            <w:shd w:val="clear" w:color="auto" w:fill="DCE6F2" w:themeFill="accent1" w:themeFillTint="32"/>
          </w:tcPr>
          <w:p>
            <w:pPr>
              <w:spacing w:line="420" w:lineRule="exact"/>
              <w:rPr>
                <w:rFonts w:ascii="仿宋" w:hAnsi="仿宋" w:eastAsia="仿宋" w:cs="等线"/>
                <w:szCs w:val="21"/>
              </w:rPr>
            </w:pPr>
            <w:r>
              <w:rPr>
                <w:rFonts w:hint="eastAsia" w:ascii="仿宋" w:hAnsi="仿宋" w:eastAsia="仿宋" w:cs="等线"/>
                <w:b/>
                <w:bCs/>
                <w:szCs w:val="21"/>
              </w:rPr>
              <w:t>报告题目七</w:t>
            </w:r>
            <w:r>
              <w:rPr>
                <w:rFonts w:hint="eastAsia" w:ascii="仿宋" w:hAnsi="仿宋" w:eastAsia="仿宋"/>
              </w:rPr>
              <w:t>15:40-16:00</w:t>
            </w:r>
          </w:p>
        </w:tc>
        <w:tc>
          <w:tcPr>
            <w:tcW w:w="6804" w:type="dxa"/>
            <w:tcBorders>
              <w:tl2br w:val="nil"/>
              <w:tr2bl w:val="nil"/>
            </w:tcBorders>
          </w:tcPr>
          <w:p>
            <w:pPr>
              <w:pStyle w:val="2"/>
              <w:spacing w:line="420" w:lineRule="exact"/>
              <w:rPr>
                <w:rFonts w:ascii="仿宋" w:hAnsi="仿宋" w:eastAsia="仿宋" w:cs="等线"/>
              </w:rPr>
            </w:pPr>
            <w:r>
              <w:rPr>
                <w:rFonts w:hint="eastAsia" w:ascii="仿宋" w:hAnsi="仿宋" w:eastAsia="仿宋" w:cs="等线"/>
                <w:kern w:val="2"/>
              </w:rPr>
              <w:t>污泥高效低成本的处置及资源化利用</w:t>
            </w:r>
          </w:p>
        </w:tc>
      </w:tr>
      <w:tr>
        <w:tblPrEx>
          <w:tblBorders>
            <w:top w:val="dotted" w:color="C3BD96" w:themeColor="background2" w:themeShade="BF" w:sz="4" w:space="0"/>
            <w:left w:val="dotted" w:color="C3BD96" w:themeColor="background2" w:themeShade="BF" w:sz="4" w:space="0"/>
            <w:bottom w:val="dotted" w:color="C3BD96" w:themeColor="background2" w:themeShade="BF" w:sz="4" w:space="0"/>
            <w:right w:val="dotted" w:color="C3BD96" w:themeColor="background2" w:themeShade="BF" w:sz="4" w:space="0"/>
            <w:insideH w:val="dotted" w:color="C3BD96" w:themeColor="background2" w:themeShade="BF" w:sz="4" w:space="0"/>
            <w:insideV w:val="dotted" w:color="C3BD96" w:themeColor="background2" w:themeShade="BF" w:sz="4" w:space="0"/>
          </w:tblBorders>
          <w:tblCellMar>
            <w:top w:w="0" w:type="dxa"/>
            <w:left w:w="108" w:type="dxa"/>
            <w:bottom w:w="0" w:type="dxa"/>
            <w:right w:w="108" w:type="dxa"/>
          </w:tblCellMar>
        </w:tblPrEx>
        <w:tc>
          <w:tcPr>
            <w:tcW w:w="2552" w:type="dxa"/>
            <w:tcBorders>
              <w:tl2br w:val="nil"/>
              <w:tr2bl w:val="nil"/>
            </w:tcBorders>
            <w:shd w:val="clear" w:color="auto" w:fill="DCE6F2" w:themeFill="accent1" w:themeFillTint="32"/>
          </w:tcPr>
          <w:p>
            <w:pPr>
              <w:spacing w:line="420" w:lineRule="exact"/>
              <w:rPr>
                <w:rFonts w:ascii="仿宋" w:hAnsi="仿宋" w:eastAsia="仿宋" w:cs="等线"/>
                <w:szCs w:val="21"/>
              </w:rPr>
            </w:pPr>
            <w:r>
              <w:rPr>
                <w:rFonts w:hint="eastAsia" w:ascii="仿宋" w:hAnsi="仿宋" w:eastAsia="仿宋" w:cs="等线"/>
                <w:b/>
                <w:bCs/>
                <w:szCs w:val="21"/>
              </w:rPr>
              <w:t>报告人</w:t>
            </w:r>
          </w:p>
        </w:tc>
        <w:tc>
          <w:tcPr>
            <w:tcW w:w="6804" w:type="dxa"/>
            <w:tcBorders>
              <w:tl2br w:val="nil"/>
              <w:tr2bl w:val="nil"/>
            </w:tcBorders>
          </w:tcPr>
          <w:p>
            <w:pPr>
              <w:spacing w:line="420" w:lineRule="exact"/>
              <w:rPr>
                <w:rFonts w:ascii="仿宋" w:hAnsi="仿宋" w:eastAsia="仿宋" w:cs="等线"/>
                <w:szCs w:val="21"/>
              </w:rPr>
            </w:pPr>
            <w:r>
              <w:rPr>
                <w:rFonts w:hint="eastAsia" w:ascii="仿宋" w:hAnsi="仿宋" w:eastAsia="仿宋" w:cs="等线"/>
                <w:szCs w:val="21"/>
              </w:rPr>
              <w:t>上海城市建设设计研究总院</w:t>
            </w:r>
          </w:p>
          <w:p>
            <w:pPr>
              <w:spacing w:line="420" w:lineRule="exact"/>
              <w:rPr>
                <w:rFonts w:ascii="仿宋" w:hAnsi="仿宋" w:eastAsia="仿宋" w:cs="等线"/>
                <w:szCs w:val="21"/>
              </w:rPr>
            </w:pPr>
            <w:r>
              <w:rPr>
                <w:rFonts w:hint="eastAsia" w:ascii="仿宋" w:hAnsi="仿宋" w:eastAsia="仿宋" w:cs="等线"/>
                <w:b/>
                <w:bCs/>
                <w:szCs w:val="21"/>
              </w:rPr>
              <w:t xml:space="preserve">黄瑾 副总工 </w:t>
            </w:r>
            <w:r>
              <w:rPr>
                <w:rFonts w:hint="eastAsia" w:ascii="仿宋" w:hAnsi="仿宋" w:eastAsia="仿宋" w:cs="等线"/>
                <w:szCs w:val="21"/>
              </w:rPr>
              <w:t xml:space="preserve">  </w:t>
            </w:r>
          </w:p>
        </w:tc>
      </w:tr>
      <w:tr>
        <w:tblPrEx>
          <w:tblBorders>
            <w:top w:val="dotted" w:color="C3BD96" w:themeColor="background2" w:themeShade="BF" w:sz="4" w:space="0"/>
            <w:left w:val="dotted" w:color="C3BD96" w:themeColor="background2" w:themeShade="BF" w:sz="4" w:space="0"/>
            <w:bottom w:val="dotted" w:color="C3BD96" w:themeColor="background2" w:themeShade="BF" w:sz="4" w:space="0"/>
            <w:right w:val="dotted" w:color="C3BD96" w:themeColor="background2" w:themeShade="BF" w:sz="4" w:space="0"/>
            <w:insideH w:val="dotted" w:color="C3BD96" w:themeColor="background2" w:themeShade="BF" w:sz="4" w:space="0"/>
            <w:insideV w:val="dotted" w:color="C3BD96" w:themeColor="background2" w:themeShade="BF" w:sz="4" w:space="0"/>
          </w:tblBorders>
          <w:tblCellMar>
            <w:top w:w="0" w:type="dxa"/>
            <w:left w:w="108" w:type="dxa"/>
            <w:bottom w:w="0" w:type="dxa"/>
            <w:right w:w="108" w:type="dxa"/>
          </w:tblCellMar>
        </w:tblPrEx>
        <w:tc>
          <w:tcPr>
            <w:tcW w:w="2552" w:type="dxa"/>
            <w:tcBorders>
              <w:tl2br w:val="nil"/>
              <w:tr2bl w:val="nil"/>
            </w:tcBorders>
            <w:shd w:val="clear" w:color="auto" w:fill="DCE6F2" w:themeFill="accent1" w:themeFillTint="32"/>
          </w:tcPr>
          <w:p>
            <w:pPr>
              <w:spacing w:line="420" w:lineRule="exact"/>
              <w:rPr>
                <w:rFonts w:ascii="仿宋" w:hAnsi="仿宋" w:eastAsia="仿宋" w:cs="等线"/>
                <w:szCs w:val="21"/>
              </w:rPr>
            </w:pPr>
            <w:r>
              <w:rPr>
                <w:rFonts w:hint="eastAsia" w:ascii="仿宋" w:hAnsi="仿宋" w:eastAsia="仿宋" w:cs="等线"/>
                <w:b/>
                <w:bCs/>
                <w:szCs w:val="21"/>
              </w:rPr>
              <w:t>报告题目八</w:t>
            </w:r>
            <w:r>
              <w:rPr>
                <w:rFonts w:hint="eastAsia" w:ascii="仿宋" w:hAnsi="仿宋" w:eastAsia="仿宋"/>
                <w:color w:val="FF0000"/>
              </w:rPr>
              <w:t>1</w:t>
            </w:r>
            <w:r>
              <w:rPr>
                <w:rFonts w:hint="eastAsia" w:ascii="仿宋" w:hAnsi="仿宋" w:eastAsia="仿宋"/>
                <w:color w:val="FF0000"/>
                <w:lang w:val="en-US" w:eastAsia="zh-CN"/>
              </w:rPr>
              <w:t>6</w:t>
            </w:r>
            <w:r>
              <w:rPr>
                <w:rFonts w:hint="eastAsia" w:ascii="仿宋" w:hAnsi="仿宋" w:eastAsia="仿宋"/>
                <w:color w:val="FF0000"/>
              </w:rPr>
              <w:t>:05-16:25</w:t>
            </w:r>
          </w:p>
        </w:tc>
        <w:tc>
          <w:tcPr>
            <w:tcW w:w="6804" w:type="dxa"/>
            <w:tcBorders>
              <w:tl2br w:val="nil"/>
              <w:tr2bl w:val="nil"/>
            </w:tcBorders>
          </w:tcPr>
          <w:p>
            <w:pPr>
              <w:spacing w:line="420" w:lineRule="exact"/>
              <w:rPr>
                <w:rFonts w:ascii="仿宋" w:hAnsi="仿宋" w:eastAsia="仿宋" w:cs="等线"/>
                <w:szCs w:val="21"/>
              </w:rPr>
            </w:pPr>
            <w:r>
              <w:rPr>
                <w:rFonts w:hint="eastAsia" w:ascii="仿宋" w:hAnsi="仿宋" w:eastAsia="仿宋" w:cs="等线"/>
                <w:szCs w:val="21"/>
              </w:rPr>
              <w:t>污泥资源化处置与长江沿线裸露矿山修复的生态统筹探索</w:t>
            </w:r>
            <w:r>
              <w:rPr>
                <w:rFonts w:ascii="Calibri" w:hAnsi="Calibri" w:eastAsia="仿宋" w:cs="Calibri"/>
                <w:szCs w:val="21"/>
              </w:rPr>
              <w:t> </w:t>
            </w:r>
          </w:p>
        </w:tc>
      </w:tr>
      <w:tr>
        <w:tblPrEx>
          <w:tblBorders>
            <w:top w:val="dotted" w:color="C3BD96" w:themeColor="background2" w:themeShade="BF" w:sz="4" w:space="0"/>
            <w:left w:val="dotted" w:color="C3BD96" w:themeColor="background2" w:themeShade="BF" w:sz="4" w:space="0"/>
            <w:bottom w:val="dotted" w:color="C3BD96" w:themeColor="background2" w:themeShade="BF" w:sz="4" w:space="0"/>
            <w:right w:val="dotted" w:color="C3BD96" w:themeColor="background2" w:themeShade="BF" w:sz="4" w:space="0"/>
            <w:insideH w:val="dotted" w:color="C3BD96" w:themeColor="background2" w:themeShade="BF" w:sz="4" w:space="0"/>
            <w:insideV w:val="dotted" w:color="C3BD96" w:themeColor="background2" w:themeShade="BF" w:sz="4" w:space="0"/>
          </w:tblBorders>
          <w:tblCellMar>
            <w:top w:w="0" w:type="dxa"/>
            <w:left w:w="108" w:type="dxa"/>
            <w:bottom w:w="0" w:type="dxa"/>
            <w:right w:w="108" w:type="dxa"/>
          </w:tblCellMar>
        </w:tblPrEx>
        <w:tc>
          <w:tcPr>
            <w:tcW w:w="2552" w:type="dxa"/>
            <w:tcBorders>
              <w:tl2br w:val="nil"/>
              <w:tr2bl w:val="nil"/>
            </w:tcBorders>
            <w:shd w:val="clear" w:color="auto" w:fill="DCE6F2" w:themeFill="accent1" w:themeFillTint="32"/>
          </w:tcPr>
          <w:p>
            <w:pPr>
              <w:spacing w:line="420" w:lineRule="exact"/>
              <w:rPr>
                <w:rFonts w:ascii="仿宋" w:hAnsi="仿宋" w:eastAsia="仿宋" w:cs="等线"/>
                <w:szCs w:val="21"/>
              </w:rPr>
            </w:pPr>
            <w:r>
              <w:rPr>
                <w:rFonts w:hint="eastAsia" w:ascii="仿宋" w:hAnsi="仿宋" w:eastAsia="仿宋" w:cs="等线"/>
                <w:b/>
                <w:bCs/>
                <w:szCs w:val="21"/>
              </w:rPr>
              <w:t>报告人</w:t>
            </w:r>
          </w:p>
        </w:tc>
        <w:tc>
          <w:tcPr>
            <w:tcW w:w="6804" w:type="dxa"/>
            <w:tcBorders>
              <w:tl2br w:val="nil"/>
              <w:tr2bl w:val="nil"/>
            </w:tcBorders>
          </w:tcPr>
          <w:p>
            <w:pPr>
              <w:spacing w:line="420" w:lineRule="exact"/>
              <w:rPr>
                <w:rFonts w:ascii="仿宋" w:hAnsi="仿宋" w:eastAsia="仿宋" w:cs="等线"/>
                <w:szCs w:val="21"/>
              </w:rPr>
            </w:pPr>
            <w:r>
              <w:rPr>
                <w:rFonts w:hint="eastAsia" w:ascii="仿宋" w:hAnsi="仿宋" w:eastAsia="仿宋" w:cs="等线"/>
                <w:szCs w:val="21"/>
              </w:rPr>
              <w:t>同济大学环境科学与工程学院</w:t>
            </w:r>
          </w:p>
          <w:p>
            <w:pPr>
              <w:spacing w:line="420" w:lineRule="exact"/>
              <w:rPr>
                <w:rFonts w:ascii="仿宋" w:hAnsi="仿宋" w:eastAsia="仿宋" w:cs="等线"/>
                <w:szCs w:val="21"/>
              </w:rPr>
            </w:pPr>
            <w:r>
              <w:rPr>
                <w:rFonts w:hint="eastAsia" w:ascii="仿宋" w:hAnsi="仿宋" w:eastAsia="仿宋" w:cs="等线"/>
                <w:b/>
                <w:bCs/>
                <w:szCs w:val="21"/>
              </w:rPr>
              <w:t>董滨</w:t>
            </w:r>
            <w:r>
              <w:rPr>
                <w:rFonts w:ascii="Calibri" w:hAnsi="Calibri" w:eastAsia="仿宋" w:cs="Calibri"/>
                <w:b/>
                <w:bCs/>
                <w:szCs w:val="21"/>
              </w:rPr>
              <w:t>  </w:t>
            </w:r>
            <w:r>
              <w:rPr>
                <w:rFonts w:hint="eastAsia" w:ascii="仿宋" w:hAnsi="仿宋" w:eastAsia="仿宋" w:cs="等线"/>
                <w:b/>
                <w:bCs/>
                <w:szCs w:val="21"/>
              </w:rPr>
              <w:t xml:space="preserve">教授、博导 </w:t>
            </w:r>
            <w:r>
              <w:rPr>
                <w:rFonts w:ascii="Calibri" w:hAnsi="Calibri" w:eastAsia="仿宋" w:cs="Calibri"/>
                <w:szCs w:val="21"/>
              </w:rPr>
              <w:t> </w:t>
            </w:r>
          </w:p>
        </w:tc>
      </w:tr>
      <w:tr>
        <w:tblPrEx>
          <w:tblBorders>
            <w:top w:val="dotted" w:color="C3BD96" w:themeColor="background2" w:themeShade="BF" w:sz="4" w:space="0"/>
            <w:left w:val="dotted" w:color="C3BD96" w:themeColor="background2" w:themeShade="BF" w:sz="4" w:space="0"/>
            <w:bottom w:val="dotted" w:color="C3BD96" w:themeColor="background2" w:themeShade="BF" w:sz="4" w:space="0"/>
            <w:right w:val="dotted" w:color="C3BD96" w:themeColor="background2" w:themeShade="BF" w:sz="4" w:space="0"/>
            <w:insideH w:val="dotted" w:color="C3BD96" w:themeColor="background2" w:themeShade="BF" w:sz="4" w:space="0"/>
            <w:insideV w:val="dotted" w:color="C3BD96" w:themeColor="background2" w:themeShade="BF" w:sz="4" w:space="0"/>
          </w:tblBorders>
          <w:tblCellMar>
            <w:top w:w="0" w:type="dxa"/>
            <w:left w:w="108" w:type="dxa"/>
            <w:bottom w:w="0" w:type="dxa"/>
            <w:right w:w="108" w:type="dxa"/>
          </w:tblCellMar>
        </w:tblPrEx>
        <w:tc>
          <w:tcPr>
            <w:tcW w:w="2552" w:type="dxa"/>
            <w:tcBorders>
              <w:tl2br w:val="nil"/>
              <w:tr2bl w:val="nil"/>
            </w:tcBorders>
            <w:shd w:val="clear" w:color="auto" w:fill="DCE6F2" w:themeFill="accent1" w:themeFillTint="32"/>
          </w:tcPr>
          <w:p>
            <w:pPr>
              <w:spacing w:line="420" w:lineRule="exact"/>
              <w:rPr>
                <w:rFonts w:ascii="仿宋" w:hAnsi="仿宋" w:eastAsia="仿宋" w:cs="等线"/>
                <w:szCs w:val="21"/>
              </w:rPr>
            </w:pPr>
            <w:r>
              <w:rPr>
                <w:rFonts w:hint="eastAsia" w:ascii="仿宋" w:hAnsi="仿宋" w:eastAsia="仿宋" w:cs="等线"/>
                <w:szCs w:val="21"/>
              </w:rPr>
              <w:t>报告题目九</w:t>
            </w:r>
            <w:r>
              <w:rPr>
                <w:rFonts w:hint="eastAsia" w:ascii="仿宋" w:hAnsi="仿宋" w:eastAsia="仿宋"/>
              </w:rPr>
              <w:t>16:30-16:50</w:t>
            </w:r>
          </w:p>
        </w:tc>
        <w:tc>
          <w:tcPr>
            <w:tcW w:w="6804" w:type="dxa"/>
            <w:tcBorders>
              <w:tl2br w:val="nil"/>
              <w:tr2bl w:val="nil"/>
            </w:tcBorders>
          </w:tcPr>
          <w:p>
            <w:pPr>
              <w:spacing w:line="420" w:lineRule="exact"/>
              <w:rPr>
                <w:rFonts w:ascii="仿宋" w:hAnsi="仿宋" w:eastAsia="仿宋" w:cs="等线"/>
                <w:szCs w:val="21"/>
              </w:rPr>
            </w:pPr>
            <w:r>
              <w:rPr>
                <w:rFonts w:hint="eastAsia" w:ascii="仿宋" w:hAnsi="仿宋" w:eastAsia="仿宋" w:cs="等线"/>
                <w:szCs w:val="21"/>
              </w:rPr>
              <w:t>城镇多源污泥泥质特性与处理处置实践</w:t>
            </w:r>
            <w:r>
              <w:rPr>
                <w:rFonts w:ascii="Calibri" w:hAnsi="Calibri" w:eastAsia="仿宋" w:cs="Calibri"/>
                <w:szCs w:val="21"/>
              </w:rPr>
              <w:t> </w:t>
            </w:r>
          </w:p>
        </w:tc>
      </w:tr>
      <w:tr>
        <w:tblPrEx>
          <w:tblBorders>
            <w:top w:val="dotted" w:color="C3BD96" w:themeColor="background2" w:themeShade="BF" w:sz="4" w:space="0"/>
            <w:left w:val="dotted" w:color="C3BD96" w:themeColor="background2" w:themeShade="BF" w:sz="4" w:space="0"/>
            <w:bottom w:val="dotted" w:color="C3BD96" w:themeColor="background2" w:themeShade="BF" w:sz="4" w:space="0"/>
            <w:right w:val="dotted" w:color="C3BD96" w:themeColor="background2" w:themeShade="BF" w:sz="4" w:space="0"/>
            <w:insideH w:val="dotted" w:color="C3BD96" w:themeColor="background2" w:themeShade="BF" w:sz="4" w:space="0"/>
            <w:insideV w:val="dotted" w:color="C3BD96" w:themeColor="background2" w:themeShade="BF" w:sz="4" w:space="0"/>
          </w:tblBorders>
          <w:tblCellMar>
            <w:top w:w="0" w:type="dxa"/>
            <w:left w:w="108" w:type="dxa"/>
            <w:bottom w:w="0" w:type="dxa"/>
            <w:right w:w="108" w:type="dxa"/>
          </w:tblCellMar>
        </w:tblPrEx>
        <w:tc>
          <w:tcPr>
            <w:tcW w:w="2552" w:type="dxa"/>
            <w:tcBorders>
              <w:tl2br w:val="nil"/>
              <w:tr2bl w:val="nil"/>
            </w:tcBorders>
            <w:shd w:val="clear" w:color="auto" w:fill="DCE6F2" w:themeFill="accent1" w:themeFillTint="32"/>
          </w:tcPr>
          <w:p>
            <w:pPr>
              <w:spacing w:line="420" w:lineRule="exact"/>
              <w:jc w:val="left"/>
              <w:rPr>
                <w:rFonts w:ascii="仿宋" w:hAnsi="仿宋" w:eastAsia="仿宋" w:cs="等线"/>
                <w:szCs w:val="21"/>
              </w:rPr>
            </w:pPr>
            <w:r>
              <w:rPr>
                <w:rFonts w:hint="eastAsia" w:ascii="仿宋" w:hAnsi="仿宋" w:eastAsia="仿宋" w:cs="等线"/>
                <w:b/>
                <w:bCs/>
                <w:szCs w:val="21"/>
              </w:rPr>
              <w:t>报告人</w:t>
            </w:r>
          </w:p>
        </w:tc>
        <w:tc>
          <w:tcPr>
            <w:tcW w:w="6804" w:type="dxa"/>
            <w:tcBorders>
              <w:tl2br w:val="nil"/>
              <w:tr2bl w:val="nil"/>
            </w:tcBorders>
          </w:tcPr>
          <w:p>
            <w:pPr>
              <w:spacing w:line="420" w:lineRule="exact"/>
              <w:rPr>
                <w:rFonts w:ascii="仿宋" w:hAnsi="仿宋" w:eastAsia="仿宋" w:cs="等线"/>
                <w:szCs w:val="21"/>
              </w:rPr>
            </w:pPr>
            <w:r>
              <w:rPr>
                <w:rFonts w:hint="eastAsia" w:ascii="仿宋" w:hAnsi="仿宋" w:eastAsia="仿宋" w:cs="等线"/>
                <w:szCs w:val="21"/>
              </w:rPr>
              <w:t>上海市政工程设计研究总院（集团）有限公司</w:t>
            </w:r>
          </w:p>
          <w:p>
            <w:pPr>
              <w:spacing w:line="420" w:lineRule="exact"/>
              <w:rPr>
                <w:rFonts w:ascii="仿宋" w:hAnsi="仿宋" w:eastAsia="仿宋" w:cs="等线"/>
                <w:szCs w:val="21"/>
              </w:rPr>
            </w:pPr>
            <w:r>
              <w:rPr>
                <w:rFonts w:hint="eastAsia" w:ascii="仿宋" w:hAnsi="仿宋" w:eastAsia="仿宋" w:cs="等线"/>
                <w:b/>
                <w:bCs/>
                <w:szCs w:val="21"/>
              </w:rPr>
              <w:t>谭学军</w:t>
            </w:r>
            <w:r>
              <w:rPr>
                <w:rFonts w:ascii="Calibri" w:hAnsi="Calibri" w:eastAsia="仿宋" w:cs="Calibri"/>
                <w:b/>
                <w:bCs/>
                <w:szCs w:val="21"/>
              </w:rPr>
              <w:t>  </w:t>
            </w:r>
            <w:r>
              <w:rPr>
                <w:rFonts w:hint="eastAsia" w:ascii="仿宋" w:hAnsi="仿宋" w:eastAsia="仿宋" w:cs="等线"/>
                <w:b/>
                <w:bCs/>
                <w:szCs w:val="21"/>
              </w:rPr>
              <w:t>博士，总院副总工/教授级高工</w:t>
            </w:r>
          </w:p>
        </w:tc>
      </w:tr>
    </w:tbl>
    <w:p>
      <w:pPr>
        <w:pStyle w:val="2"/>
        <w:rPr>
          <w:rFonts w:ascii="仿宋" w:hAnsi="仿宋" w:eastAsia="仿宋"/>
        </w:rPr>
      </w:pPr>
    </w:p>
    <w:sectPr>
      <w:pgSz w:w="11906" w:h="16838"/>
      <w:pgMar w:top="1247" w:right="1797" w:bottom="1134"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宋体....">
    <w:altName w:val="宋体"/>
    <w:panose1 w:val="00000000000000000000"/>
    <w:charset w:val="86"/>
    <w:family w:val="roma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RiMmEyM2MwNjcxZTRkNjI0M2YxOWNjODI4MTk0NjkifQ=="/>
  </w:docVars>
  <w:rsids>
    <w:rsidRoot w:val="005F66BA"/>
    <w:rsid w:val="0000632A"/>
    <w:rsid w:val="0002018A"/>
    <w:rsid w:val="0004584A"/>
    <w:rsid w:val="000461A1"/>
    <w:rsid w:val="0005016D"/>
    <w:rsid w:val="000510C3"/>
    <w:rsid w:val="00057ECC"/>
    <w:rsid w:val="00061671"/>
    <w:rsid w:val="00064407"/>
    <w:rsid w:val="00067808"/>
    <w:rsid w:val="00075435"/>
    <w:rsid w:val="000819A1"/>
    <w:rsid w:val="00087E66"/>
    <w:rsid w:val="00095E37"/>
    <w:rsid w:val="00097E7C"/>
    <w:rsid w:val="000A069A"/>
    <w:rsid w:val="000A56B0"/>
    <w:rsid w:val="000D3F4B"/>
    <w:rsid w:val="000D5F6B"/>
    <w:rsid w:val="000E1AF9"/>
    <w:rsid w:val="000E4A53"/>
    <w:rsid w:val="000E5AAD"/>
    <w:rsid w:val="000E5C23"/>
    <w:rsid w:val="000F32B1"/>
    <w:rsid w:val="001050AF"/>
    <w:rsid w:val="001066A8"/>
    <w:rsid w:val="0011200D"/>
    <w:rsid w:val="00116C79"/>
    <w:rsid w:val="00124642"/>
    <w:rsid w:val="001305F6"/>
    <w:rsid w:val="0015391E"/>
    <w:rsid w:val="001635C6"/>
    <w:rsid w:val="00165EC9"/>
    <w:rsid w:val="001672C0"/>
    <w:rsid w:val="00171ACE"/>
    <w:rsid w:val="00171C8C"/>
    <w:rsid w:val="001977D8"/>
    <w:rsid w:val="001A0F3B"/>
    <w:rsid w:val="001A11CD"/>
    <w:rsid w:val="001A3DE9"/>
    <w:rsid w:val="001A415F"/>
    <w:rsid w:val="001B5452"/>
    <w:rsid w:val="001C3A01"/>
    <w:rsid w:val="001D476F"/>
    <w:rsid w:val="001D4B47"/>
    <w:rsid w:val="001E0D4A"/>
    <w:rsid w:val="001E7972"/>
    <w:rsid w:val="001F0EC7"/>
    <w:rsid w:val="001F2F7C"/>
    <w:rsid w:val="001F5625"/>
    <w:rsid w:val="00205ABD"/>
    <w:rsid w:val="0021040F"/>
    <w:rsid w:val="0021204C"/>
    <w:rsid w:val="00220EB5"/>
    <w:rsid w:val="00264284"/>
    <w:rsid w:val="00265AF2"/>
    <w:rsid w:val="00272F41"/>
    <w:rsid w:val="00281BD6"/>
    <w:rsid w:val="00284068"/>
    <w:rsid w:val="00285D6A"/>
    <w:rsid w:val="0028733A"/>
    <w:rsid w:val="00293B02"/>
    <w:rsid w:val="002A23D7"/>
    <w:rsid w:val="002A5B29"/>
    <w:rsid w:val="002B1184"/>
    <w:rsid w:val="002B690C"/>
    <w:rsid w:val="002B70B6"/>
    <w:rsid w:val="002C17D3"/>
    <w:rsid w:val="002C3B47"/>
    <w:rsid w:val="002F0F9E"/>
    <w:rsid w:val="0030127D"/>
    <w:rsid w:val="00303D2F"/>
    <w:rsid w:val="003052B4"/>
    <w:rsid w:val="003173C4"/>
    <w:rsid w:val="00322E0A"/>
    <w:rsid w:val="003275C9"/>
    <w:rsid w:val="00332539"/>
    <w:rsid w:val="00334114"/>
    <w:rsid w:val="00334C20"/>
    <w:rsid w:val="00341793"/>
    <w:rsid w:val="00342085"/>
    <w:rsid w:val="0035386E"/>
    <w:rsid w:val="003720CC"/>
    <w:rsid w:val="003823AB"/>
    <w:rsid w:val="003876A1"/>
    <w:rsid w:val="003B7D4F"/>
    <w:rsid w:val="003C1118"/>
    <w:rsid w:val="003C5D9C"/>
    <w:rsid w:val="003D3201"/>
    <w:rsid w:val="003D3B80"/>
    <w:rsid w:val="003D5947"/>
    <w:rsid w:val="003D6AFC"/>
    <w:rsid w:val="003F2238"/>
    <w:rsid w:val="003F786C"/>
    <w:rsid w:val="00404B4D"/>
    <w:rsid w:val="00411DC2"/>
    <w:rsid w:val="004137DC"/>
    <w:rsid w:val="00413830"/>
    <w:rsid w:val="00424349"/>
    <w:rsid w:val="004315E6"/>
    <w:rsid w:val="0043611B"/>
    <w:rsid w:val="004432EE"/>
    <w:rsid w:val="0044368E"/>
    <w:rsid w:val="0044535E"/>
    <w:rsid w:val="0044768E"/>
    <w:rsid w:val="004514BB"/>
    <w:rsid w:val="00496B47"/>
    <w:rsid w:val="004A283F"/>
    <w:rsid w:val="004B0BFB"/>
    <w:rsid w:val="004B3D1F"/>
    <w:rsid w:val="004C4187"/>
    <w:rsid w:val="004E1419"/>
    <w:rsid w:val="004E2CE8"/>
    <w:rsid w:val="004F2514"/>
    <w:rsid w:val="005169A9"/>
    <w:rsid w:val="00516D2A"/>
    <w:rsid w:val="0052232F"/>
    <w:rsid w:val="00527B5B"/>
    <w:rsid w:val="005329FE"/>
    <w:rsid w:val="00536D8B"/>
    <w:rsid w:val="0054166E"/>
    <w:rsid w:val="0054490F"/>
    <w:rsid w:val="00550361"/>
    <w:rsid w:val="0056774F"/>
    <w:rsid w:val="005735A2"/>
    <w:rsid w:val="0057618D"/>
    <w:rsid w:val="0059272E"/>
    <w:rsid w:val="005B3AA7"/>
    <w:rsid w:val="005B3FFF"/>
    <w:rsid w:val="005C58B7"/>
    <w:rsid w:val="005D17B4"/>
    <w:rsid w:val="005D3759"/>
    <w:rsid w:val="005D7B77"/>
    <w:rsid w:val="005E4AF3"/>
    <w:rsid w:val="005F66BA"/>
    <w:rsid w:val="006001D3"/>
    <w:rsid w:val="00601F4F"/>
    <w:rsid w:val="006036A2"/>
    <w:rsid w:val="00605E6F"/>
    <w:rsid w:val="006065E9"/>
    <w:rsid w:val="00610328"/>
    <w:rsid w:val="006120D3"/>
    <w:rsid w:val="006147CD"/>
    <w:rsid w:val="00625B39"/>
    <w:rsid w:val="0063230F"/>
    <w:rsid w:val="00635ADF"/>
    <w:rsid w:val="00635B1B"/>
    <w:rsid w:val="00653169"/>
    <w:rsid w:val="00655AF1"/>
    <w:rsid w:val="00656BED"/>
    <w:rsid w:val="00662000"/>
    <w:rsid w:val="00676588"/>
    <w:rsid w:val="00681324"/>
    <w:rsid w:val="00683D52"/>
    <w:rsid w:val="006848F7"/>
    <w:rsid w:val="006930D9"/>
    <w:rsid w:val="006B1F04"/>
    <w:rsid w:val="006D276D"/>
    <w:rsid w:val="006E2468"/>
    <w:rsid w:val="006E6DFB"/>
    <w:rsid w:val="006F02F2"/>
    <w:rsid w:val="006F159F"/>
    <w:rsid w:val="006F37BA"/>
    <w:rsid w:val="0072569B"/>
    <w:rsid w:val="0072697F"/>
    <w:rsid w:val="00734245"/>
    <w:rsid w:val="00734F48"/>
    <w:rsid w:val="00737703"/>
    <w:rsid w:val="007459A9"/>
    <w:rsid w:val="00761398"/>
    <w:rsid w:val="00767859"/>
    <w:rsid w:val="00771497"/>
    <w:rsid w:val="00780672"/>
    <w:rsid w:val="00783F8F"/>
    <w:rsid w:val="007878A8"/>
    <w:rsid w:val="00791179"/>
    <w:rsid w:val="00792007"/>
    <w:rsid w:val="007A1B27"/>
    <w:rsid w:val="007C336A"/>
    <w:rsid w:val="007C792A"/>
    <w:rsid w:val="007D59DC"/>
    <w:rsid w:val="007E3269"/>
    <w:rsid w:val="007E7BA8"/>
    <w:rsid w:val="007F176A"/>
    <w:rsid w:val="008024C3"/>
    <w:rsid w:val="0082278D"/>
    <w:rsid w:val="008324E4"/>
    <w:rsid w:val="0083341E"/>
    <w:rsid w:val="008357C4"/>
    <w:rsid w:val="0083582B"/>
    <w:rsid w:val="008371D4"/>
    <w:rsid w:val="00842A07"/>
    <w:rsid w:val="008435C7"/>
    <w:rsid w:val="008455CB"/>
    <w:rsid w:val="00856224"/>
    <w:rsid w:val="0087053F"/>
    <w:rsid w:val="0089362B"/>
    <w:rsid w:val="00895D32"/>
    <w:rsid w:val="008A4B34"/>
    <w:rsid w:val="008B3BC9"/>
    <w:rsid w:val="008B5BAD"/>
    <w:rsid w:val="008B5C0B"/>
    <w:rsid w:val="008B63C2"/>
    <w:rsid w:val="008C0845"/>
    <w:rsid w:val="008C2D7B"/>
    <w:rsid w:val="008D757C"/>
    <w:rsid w:val="008D77C9"/>
    <w:rsid w:val="008D7945"/>
    <w:rsid w:val="008E0ED3"/>
    <w:rsid w:val="008E1896"/>
    <w:rsid w:val="008E53E5"/>
    <w:rsid w:val="008E60DF"/>
    <w:rsid w:val="008E74AC"/>
    <w:rsid w:val="00907750"/>
    <w:rsid w:val="00913C26"/>
    <w:rsid w:val="009176C8"/>
    <w:rsid w:val="00920C51"/>
    <w:rsid w:val="00924FB9"/>
    <w:rsid w:val="00927F0B"/>
    <w:rsid w:val="009414ED"/>
    <w:rsid w:val="009528D2"/>
    <w:rsid w:val="009611CC"/>
    <w:rsid w:val="00963905"/>
    <w:rsid w:val="00984EDA"/>
    <w:rsid w:val="00986FDF"/>
    <w:rsid w:val="009A065C"/>
    <w:rsid w:val="009A4F31"/>
    <w:rsid w:val="009C7530"/>
    <w:rsid w:val="009C7845"/>
    <w:rsid w:val="009C7DDF"/>
    <w:rsid w:val="00A0693D"/>
    <w:rsid w:val="00A07D41"/>
    <w:rsid w:val="00A20CB6"/>
    <w:rsid w:val="00A255F0"/>
    <w:rsid w:val="00A3351F"/>
    <w:rsid w:val="00A347D0"/>
    <w:rsid w:val="00A36677"/>
    <w:rsid w:val="00A42770"/>
    <w:rsid w:val="00A62A7E"/>
    <w:rsid w:val="00A73960"/>
    <w:rsid w:val="00A7576F"/>
    <w:rsid w:val="00A75847"/>
    <w:rsid w:val="00A84C3A"/>
    <w:rsid w:val="00AA0688"/>
    <w:rsid w:val="00AA1628"/>
    <w:rsid w:val="00AB37D3"/>
    <w:rsid w:val="00AB51C6"/>
    <w:rsid w:val="00AC62CC"/>
    <w:rsid w:val="00AC7C03"/>
    <w:rsid w:val="00AD0709"/>
    <w:rsid w:val="00AD3AD2"/>
    <w:rsid w:val="00AF4DF1"/>
    <w:rsid w:val="00AF5580"/>
    <w:rsid w:val="00B05824"/>
    <w:rsid w:val="00B10446"/>
    <w:rsid w:val="00B204CF"/>
    <w:rsid w:val="00B23F2F"/>
    <w:rsid w:val="00B42C53"/>
    <w:rsid w:val="00B431E5"/>
    <w:rsid w:val="00B455BE"/>
    <w:rsid w:val="00B47AD6"/>
    <w:rsid w:val="00B6143E"/>
    <w:rsid w:val="00B71F24"/>
    <w:rsid w:val="00B926D3"/>
    <w:rsid w:val="00B9683D"/>
    <w:rsid w:val="00BA067E"/>
    <w:rsid w:val="00BA423D"/>
    <w:rsid w:val="00BB14B6"/>
    <w:rsid w:val="00BB79E0"/>
    <w:rsid w:val="00BC55AD"/>
    <w:rsid w:val="00BC5FB4"/>
    <w:rsid w:val="00BE39B4"/>
    <w:rsid w:val="00C10263"/>
    <w:rsid w:val="00C1384A"/>
    <w:rsid w:val="00C1574F"/>
    <w:rsid w:val="00C24852"/>
    <w:rsid w:val="00C323EE"/>
    <w:rsid w:val="00C45B7F"/>
    <w:rsid w:val="00C46A44"/>
    <w:rsid w:val="00C7350C"/>
    <w:rsid w:val="00C74C28"/>
    <w:rsid w:val="00C75571"/>
    <w:rsid w:val="00C828E1"/>
    <w:rsid w:val="00C84237"/>
    <w:rsid w:val="00C853BA"/>
    <w:rsid w:val="00C8545A"/>
    <w:rsid w:val="00C91B91"/>
    <w:rsid w:val="00C952BE"/>
    <w:rsid w:val="00CB4C21"/>
    <w:rsid w:val="00CB5FCC"/>
    <w:rsid w:val="00CB70C3"/>
    <w:rsid w:val="00CD0A19"/>
    <w:rsid w:val="00CD50EA"/>
    <w:rsid w:val="00CE44DA"/>
    <w:rsid w:val="00CE4AC1"/>
    <w:rsid w:val="00CE53BE"/>
    <w:rsid w:val="00CF1848"/>
    <w:rsid w:val="00CF3365"/>
    <w:rsid w:val="00CF3808"/>
    <w:rsid w:val="00D07102"/>
    <w:rsid w:val="00D178A6"/>
    <w:rsid w:val="00D23B1E"/>
    <w:rsid w:val="00D23F13"/>
    <w:rsid w:val="00D2468F"/>
    <w:rsid w:val="00D32239"/>
    <w:rsid w:val="00D410D0"/>
    <w:rsid w:val="00D57225"/>
    <w:rsid w:val="00D60049"/>
    <w:rsid w:val="00D623CB"/>
    <w:rsid w:val="00D661F6"/>
    <w:rsid w:val="00D668A0"/>
    <w:rsid w:val="00D76365"/>
    <w:rsid w:val="00D76853"/>
    <w:rsid w:val="00D81703"/>
    <w:rsid w:val="00D909F8"/>
    <w:rsid w:val="00DB0F67"/>
    <w:rsid w:val="00DB1329"/>
    <w:rsid w:val="00DB1DB5"/>
    <w:rsid w:val="00DB5AAC"/>
    <w:rsid w:val="00DB646D"/>
    <w:rsid w:val="00DC46CE"/>
    <w:rsid w:val="00DC79B3"/>
    <w:rsid w:val="00DD2519"/>
    <w:rsid w:val="00DD2901"/>
    <w:rsid w:val="00DD316A"/>
    <w:rsid w:val="00DD3699"/>
    <w:rsid w:val="00DE4206"/>
    <w:rsid w:val="00DE4BB9"/>
    <w:rsid w:val="00DF4550"/>
    <w:rsid w:val="00DF5A25"/>
    <w:rsid w:val="00DF7E37"/>
    <w:rsid w:val="00E00DB2"/>
    <w:rsid w:val="00E07A7D"/>
    <w:rsid w:val="00E22A8F"/>
    <w:rsid w:val="00E2667E"/>
    <w:rsid w:val="00E26DCB"/>
    <w:rsid w:val="00E3303F"/>
    <w:rsid w:val="00E358E7"/>
    <w:rsid w:val="00E405F7"/>
    <w:rsid w:val="00E45E79"/>
    <w:rsid w:val="00E51B83"/>
    <w:rsid w:val="00E536A3"/>
    <w:rsid w:val="00E6076B"/>
    <w:rsid w:val="00E72C0C"/>
    <w:rsid w:val="00E853D4"/>
    <w:rsid w:val="00E910C1"/>
    <w:rsid w:val="00E940FB"/>
    <w:rsid w:val="00E957A6"/>
    <w:rsid w:val="00ED7407"/>
    <w:rsid w:val="00EF6DC6"/>
    <w:rsid w:val="00F024C7"/>
    <w:rsid w:val="00F07A4E"/>
    <w:rsid w:val="00F3271D"/>
    <w:rsid w:val="00F37E62"/>
    <w:rsid w:val="00F43BA1"/>
    <w:rsid w:val="00F464A2"/>
    <w:rsid w:val="00F73E81"/>
    <w:rsid w:val="00F83198"/>
    <w:rsid w:val="00FA116C"/>
    <w:rsid w:val="00FA2529"/>
    <w:rsid w:val="00FA37A8"/>
    <w:rsid w:val="00FA62B0"/>
    <w:rsid w:val="00FA7CBF"/>
    <w:rsid w:val="00FB5F06"/>
    <w:rsid w:val="00FF2F93"/>
    <w:rsid w:val="05C313AC"/>
    <w:rsid w:val="1A1B6ECE"/>
    <w:rsid w:val="2AF07F6F"/>
    <w:rsid w:val="38E3758F"/>
    <w:rsid w:val="3AA031F2"/>
    <w:rsid w:val="3AD962A2"/>
    <w:rsid w:val="5F7E4056"/>
    <w:rsid w:val="640A4265"/>
    <w:rsid w:val="69605A13"/>
    <w:rsid w:val="774C5829"/>
    <w:rsid w:val="78B91D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 w:semiHidden="0" w:name="heading 3"/>
    <w:lsdException w:qFormat="1" w:uiPriority="9" w:name="heading 4"/>
    <w:lsdException w:qFormat="1" w:unhideWhenUsed="0"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3"/>
    <w:basedOn w:val="1"/>
    <w:next w:val="1"/>
    <w:link w:val="15"/>
    <w:qFormat/>
    <w:uiPriority w:val="9"/>
    <w:pPr>
      <w:keepNext/>
      <w:keepLines/>
      <w:spacing w:before="260" w:after="260" w:line="416" w:lineRule="auto"/>
      <w:outlineLvl w:val="2"/>
    </w:pPr>
    <w:rPr>
      <w:b/>
      <w:bCs/>
      <w:sz w:val="32"/>
      <w:szCs w:val="32"/>
    </w:rPr>
  </w:style>
  <w:style w:type="paragraph" w:styleId="4">
    <w:name w:val="heading 5"/>
    <w:basedOn w:val="1"/>
    <w:link w:val="16"/>
    <w:qFormat/>
    <w:uiPriority w:val="9"/>
    <w:pPr>
      <w:widowControl/>
      <w:spacing w:before="100" w:beforeAutospacing="1" w:after="100" w:afterAutospacing="1"/>
      <w:jc w:val="left"/>
      <w:outlineLvl w:val="4"/>
    </w:pPr>
    <w:rPr>
      <w:rFonts w:ascii="宋体" w:hAnsi="宋体" w:cs="宋体"/>
      <w:b/>
      <w:bCs/>
      <w:kern w:val="0"/>
      <w:sz w:val="20"/>
      <w:szCs w:val="20"/>
    </w:rPr>
  </w:style>
  <w:style w:type="character" w:default="1" w:styleId="11">
    <w:name w:val="Default Paragraph Font"/>
    <w:semiHidden/>
    <w:unhideWhenUsed/>
    <w:uiPriority w:val="1"/>
  </w:style>
  <w:style w:type="table" w:default="1" w:styleId="9">
    <w:name w:val="Normal Table"/>
    <w:autoRedefine/>
    <w:semiHidden/>
    <w:unhideWhenUsed/>
    <w:qFormat/>
    <w:uiPriority w:val="99"/>
    <w:tblPr>
      <w:tblCellMar>
        <w:top w:w="0" w:type="dxa"/>
        <w:left w:w="108" w:type="dxa"/>
        <w:bottom w:w="0" w:type="dxa"/>
        <w:right w:w="108" w:type="dxa"/>
      </w:tblCellMar>
    </w:tblPr>
  </w:style>
  <w:style w:type="paragraph" w:styleId="2">
    <w:name w:val="Body Text First Indent 2"/>
    <w:basedOn w:val="1"/>
    <w:next w:val="1"/>
    <w:autoRedefine/>
    <w:qFormat/>
    <w:uiPriority w:val="0"/>
    <w:pPr>
      <w:autoSpaceDE w:val="0"/>
      <w:autoSpaceDN w:val="0"/>
      <w:adjustRightInd w:val="0"/>
      <w:snapToGrid w:val="0"/>
      <w:spacing w:line="560" w:lineRule="exact"/>
    </w:pPr>
    <w:rPr>
      <w:rFonts w:ascii="宋体" w:hAnsi="宋体"/>
      <w:kern w:val="0"/>
      <w:szCs w:val="21"/>
    </w:rPr>
  </w:style>
  <w:style w:type="paragraph" w:styleId="5">
    <w:name w:val="Date"/>
    <w:basedOn w:val="1"/>
    <w:next w:val="1"/>
    <w:link w:val="24"/>
    <w:autoRedefine/>
    <w:semiHidden/>
    <w:unhideWhenUsed/>
    <w:qFormat/>
    <w:uiPriority w:val="99"/>
    <w:pPr>
      <w:ind w:left="100" w:leftChars="2500"/>
    </w:pPr>
  </w:style>
  <w:style w:type="paragraph" w:styleId="6">
    <w:name w:val="footer"/>
    <w:basedOn w:val="1"/>
    <w:link w:val="17"/>
    <w:autoRedefine/>
    <w:unhideWhenUsed/>
    <w:qFormat/>
    <w:uiPriority w:val="99"/>
    <w:pPr>
      <w:tabs>
        <w:tab w:val="center" w:pos="4153"/>
        <w:tab w:val="right" w:pos="8306"/>
      </w:tabs>
      <w:snapToGrid w:val="0"/>
      <w:jc w:val="left"/>
    </w:pPr>
    <w:rPr>
      <w:sz w:val="18"/>
      <w:szCs w:val="18"/>
    </w:rPr>
  </w:style>
  <w:style w:type="paragraph" w:styleId="7">
    <w:name w:val="header"/>
    <w:basedOn w:val="1"/>
    <w:link w:val="18"/>
    <w:unhideWhenUsed/>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autoRedefine/>
    <w:unhideWhenUsed/>
    <w:qFormat/>
    <w:uiPriority w:val="99"/>
    <w:pPr>
      <w:widowControl/>
      <w:spacing w:before="100" w:beforeAutospacing="1" w:after="100" w:afterAutospacing="1"/>
      <w:jc w:val="left"/>
    </w:pPr>
    <w:rPr>
      <w:rFonts w:ascii="宋体" w:hAnsi="宋体" w:cs="宋体"/>
      <w:kern w:val="0"/>
      <w:sz w:val="24"/>
      <w:szCs w:val="24"/>
    </w:rPr>
  </w:style>
  <w:style w:type="table" w:styleId="10">
    <w:name w:val="Table Grid"/>
    <w:basedOn w:val="9"/>
    <w:autoRedefine/>
    <w:qFormat/>
    <w:uiPriority w:val="0"/>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autoRedefine/>
    <w:qFormat/>
    <w:uiPriority w:val="22"/>
    <w:rPr>
      <w:b/>
      <w:bCs/>
    </w:rPr>
  </w:style>
  <w:style w:type="character" w:styleId="13">
    <w:name w:val="Emphasis"/>
    <w:autoRedefine/>
    <w:qFormat/>
    <w:uiPriority w:val="20"/>
    <w:rPr>
      <w:i/>
      <w:iCs/>
    </w:rPr>
  </w:style>
  <w:style w:type="character" w:styleId="14">
    <w:name w:val="Hyperlink"/>
    <w:autoRedefine/>
    <w:unhideWhenUsed/>
    <w:qFormat/>
    <w:uiPriority w:val="99"/>
    <w:rPr>
      <w:color w:val="0000FF"/>
      <w:u w:val="single"/>
    </w:rPr>
  </w:style>
  <w:style w:type="character" w:customStyle="1" w:styleId="15">
    <w:name w:val="标题 3 字符"/>
    <w:link w:val="3"/>
    <w:autoRedefine/>
    <w:semiHidden/>
    <w:qFormat/>
    <w:uiPriority w:val="9"/>
    <w:rPr>
      <w:b/>
      <w:bCs/>
      <w:kern w:val="2"/>
      <w:sz w:val="32"/>
      <w:szCs w:val="32"/>
    </w:rPr>
  </w:style>
  <w:style w:type="character" w:customStyle="1" w:styleId="16">
    <w:name w:val="标题 5 字符"/>
    <w:link w:val="4"/>
    <w:autoRedefine/>
    <w:qFormat/>
    <w:uiPriority w:val="9"/>
    <w:rPr>
      <w:rFonts w:ascii="宋体" w:hAnsi="宋体" w:cs="宋体"/>
      <w:b/>
      <w:bCs/>
    </w:rPr>
  </w:style>
  <w:style w:type="character" w:customStyle="1" w:styleId="17">
    <w:name w:val="页脚 字符"/>
    <w:link w:val="6"/>
    <w:autoRedefine/>
    <w:qFormat/>
    <w:uiPriority w:val="99"/>
    <w:rPr>
      <w:kern w:val="2"/>
      <w:sz w:val="18"/>
      <w:szCs w:val="18"/>
    </w:rPr>
  </w:style>
  <w:style w:type="character" w:customStyle="1" w:styleId="18">
    <w:name w:val="页眉 字符"/>
    <w:link w:val="7"/>
    <w:autoRedefine/>
    <w:qFormat/>
    <w:uiPriority w:val="99"/>
    <w:rPr>
      <w:kern w:val="2"/>
      <w:sz w:val="18"/>
      <w:szCs w:val="18"/>
    </w:rPr>
  </w:style>
  <w:style w:type="paragraph" w:customStyle="1" w:styleId="19">
    <w:name w:val="普通(网站)1"/>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customStyle="1" w:styleId="20">
    <w:name w:val="Default"/>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1">
    <w:name w:val="el-link--inner"/>
    <w:autoRedefine/>
    <w:qFormat/>
    <w:uiPriority w:val="0"/>
  </w:style>
  <w:style w:type="paragraph" w:customStyle="1" w:styleId="22">
    <w:name w:val="Table Paragraph"/>
    <w:basedOn w:val="1"/>
    <w:autoRedefine/>
    <w:unhideWhenUsed/>
    <w:qFormat/>
    <w:uiPriority w:val="1"/>
    <w:rPr>
      <w:sz w:val="24"/>
      <w:szCs w:val="24"/>
    </w:rPr>
  </w:style>
  <w:style w:type="paragraph" w:styleId="23">
    <w:name w:val="List Paragraph"/>
    <w:basedOn w:val="1"/>
    <w:autoRedefine/>
    <w:qFormat/>
    <w:uiPriority w:val="34"/>
    <w:pPr>
      <w:spacing w:after="160" w:line="278" w:lineRule="auto"/>
      <w:ind w:left="720"/>
      <w:contextualSpacing/>
      <w:jc w:val="left"/>
    </w:pPr>
    <w:rPr>
      <w:rFonts w:asciiTheme="minorHAnsi" w:hAnsiTheme="minorHAnsi" w:eastAsiaTheme="minorEastAsia" w:cstheme="minorBidi"/>
      <w:sz w:val="22"/>
      <w:szCs w:val="24"/>
      <w14:ligatures w14:val="standardContextual"/>
    </w:rPr>
  </w:style>
  <w:style w:type="character" w:customStyle="1" w:styleId="24">
    <w:name w:val="日期 字符"/>
    <w:basedOn w:val="11"/>
    <w:link w:val="5"/>
    <w:autoRedefine/>
    <w:semiHidden/>
    <w:qFormat/>
    <w:uiPriority w:val="99"/>
    <w:rPr>
      <w:kern w:val="2"/>
      <w:sz w:val="21"/>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CD9FE4F-F1E9-4FB1-B6B4-C4A02A8E7339}">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Pages>
  <Words>289</Words>
  <Characters>1651</Characters>
  <Lines>13</Lines>
  <Paragraphs>3</Paragraphs>
  <TotalTime>2</TotalTime>
  <ScaleCrop>false</ScaleCrop>
  <LinksUpToDate>false</LinksUpToDate>
  <CharactersWithSpaces>1937</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2024-05-06T01:49:00Z</dcterms:created>
  <dc:creator>Wang</dc:creator>
  <cp:lastModifiedBy>Administrator</cp:lastModifiedBy>
  <cp:lastPrinted>2023-05-19T08:30:00Z</cp:lastPrinted>
  <dcterms:modified xsi:type="dcterms:W3CDTF">2024-05-06T02:46:35Z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506AE2FF2E2E4884A9CD3ACA155C6984_13</vt:lpwstr>
  </property>
</Properties>
</file>